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jc w:val="left"/>
        <w:rPr>
          <w:rFonts w:hint="eastAsia"/>
          <w:color w:val="2D374B"/>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jc w:val="left"/>
        <w:rPr>
          <w:rFonts w:hint="eastAsia"/>
          <w:color w:val="2D374B"/>
          <w:sz w:val="21"/>
          <w:szCs w:val="21"/>
          <w:lang w:val="en-US" w:eastAsia="zh-CN"/>
        </w:rPr>
      </w:pPr>
    </w:p>
    <w:p>
      <w:pPr>
        <w:spacing w:line="400" w:lineRule="exact"/>
        <w:ind w:firstLine="320" w:firstLineChars="100"/>
        <w:jc w:val="center"/>
        <w:rPr>
          <w:rFonts w:hint="eastAsia" w:ascii="宋体" w:hAnsi="宋体" w:cs="宋体"/>
          <w:sz w:val="32"/>
          <w:szCs w:val="32"/>
        </w:rPr>
      </w:pPr>
      <w:r>
        <w:rPr>
          <w:rFonts w:hint="eastAsia" w:ascii="宋体" w:hAnsi="宋体" w:cs="宋体"/>
          <w:sz w:val="32"/>
          <w:szCs w:val="32"/>
        </w:rPr>
        <w:t>工商管理学院博士研究生中期考核评分表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380"/>
        <w:gridCol w:w="1515"/>
        <w:gridCol w:w="2055"/>
        <w:gridCol w:w="1860"/>
        <w:gridCol w:w="1800"/>
        <w:gridCol w:w="1845"/>
        <w:gridCol w:w="1839"/>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485" w:type="dxa"/>
            <w:noWrap w:val="0"/>
            <w:vAlign w:val="center"/>
          </w:tcPr>
          <w:p>
            <w:pPr>
              <w:jc w:val="center"/>
              <w:rPr>
                <w:rFonts w:hint="eastAsia"/>
              </w:rPr>
            </w:pPr>
            <w:r>
              <w:rPr>
                <w:rFonts w:hint="eastAsia"/>
              </w:rPr>
              <w:t>姓   名</w:t>
            </w:r>
          </w:p>
        </w:tc>
        <w:tc>
          <w:tcPr>
            <w:tcW w:w="1380" w:type="dxa"/>
            <w:noWrap w:val="0"/>
            <w:vAlign w:val="center"/>
          </w:tcPr>
          <w:p>
            <w:pPr>
              <w:jc w:val="center"/>
              <w:rPr>
                <w:rFonts w:hint="eastAsia"/>
              </w:rPr>
            </w:pPr>
            <w:r>
              <w:rPr>
                <w:rFonts w:hint="eastAsia"/>
              </w:rPr>
              <w:t>笔试成绩</w:t>
            </w:r>
          </w:p>
          <w:p>
            <w:pPr>
              <w:jc w:val="center"/>
              <w:rPr>
                <w:rFonts w:hint="eastAsia"/>
              </w:rPr>
            </w:pPr>
            <w:r>
              <w:rPr>
                <w:rFonts w:hint="eastAsia"/>
              </w:rPr>
              <w:t>（30分）</w:t>
            </w:r>
          </w:p>
        </w:tc>
        <w:tc>
          <w:tcPr>
            <w:tcW w:w="1515" w:type="dxa"/>
            <w:noWrap w:val="0"/>
            <w:vAlign w:val="center"/>
          </w:tcPr>
          <w:p>
            <w:pPr>
              <w:jc w:val="center"/>
              <w:rPr>
                <w:rFonts w:hint="eastAsia"/>
              </w:rPr>
            </w:pPr>
            <w:r>
              <w:rPr>
                <w:rFonts w:hint="eastAsia"/>
              </w:rPr>
              <w:t>论著发表</w:t>
            </w:r>
          </w:p>
          <w:p>
            <w:pPr>
              <w:jc w:val="center"/>
              <w:rPr>
                <w:rFonts w:hint="eastAsia"/>
              </w:rPr>
            </w:pPr>
            <w:r>
              <w:rPr>
                <w:rFonts w:hint="eastAsia"/>
              </w:rPr>
              <w:t>（20分）</w:t>
            </w:r>
          </w:p>
        </w:tc>
        <w:tc>
          <w:tcPr>
            <w:tcW w:w="2055" w:type="dxa"/>
            <w:noWrap w:val="0"/>
            <w:vAlign w:val="center"/>
          </w:tcPr>
          <w:p>
            <w:pPr>
              <w:jc w:val="center"/>
              <w:rPr>
                <w:rFonts w:hint="eastAsia"/>
              </w:rPr>
            </w:pPr>
            <w:r>
              <w:rPr>
                <w:rFonts w:hint="eastAsia"/>
              </w:rPr>
              <w:t>文献综述与研究报告撰写（20分）</w:t>
            </w:r>
          </w:p>
        </w:tc>
        <w:tc>
          <w:tcPr>
            <w:tcW w:w="1860" w:type="dxa"/>
            <w:noWrap w:val="0"/>
            <w:vAlign w:val="center"/>
          </w:tcPr>
          <w:p>
            <w:pPr>
              <w:jc w:val="center"/>
              <w:rPr>
                <w:rFonts w:hint="eastAsia"/>
              </w:rPr>
            </w:pPr>
            <w:r>
              <w:rPr>
                <w:rFonts w:hint="eastAsia"/>
              </w:rPr>
              <w:t>分析与解决问题能力（10分）</w:t>
            </w:r>
          </w:p>
        </w:tc>
        <w:tc>
          <w:tcPr>
            <w:tcW w:w="1800" w:type="dxa"/>
            <w:noWrap w:val="0"/>
            <w:vAlign w:val="center"/>
          </w:tcPr>
          <w:p>
            <w:pPr>
              <w:jc w:val="center"/>
              <w:rPr>
                <w:rFonts w:hint="eastAsia"/>
              </w:rPr>
            </w:pPr>
            <w:r>
              <w:rPr>
                <w:rFonts w:hint="eastAsia"/>
              </w:rPr>
              <w:t>未来研究设想的可行性（10分）</w:t>
            </w:r>
          </w:p>
        </w:tc>
        <w:tc>
          <w:tcPr>
            <w:tcW w:w="1845" w:type="dxa"/>
            <w:noWrap w:val="0"/>
            <w:vAlign w:val="center"/>
          </w:tcPr>
          <w:p>
            <w:pPr>
              <w:jc w:val="center"/>
              <w:rPr>
                <w:rFonts w:hint="eastAsia"/>
              </w:rPr>
            </w:pPr>
            <w:r>
              <w:rPr>
                <w:rFonts w:hint="eastAsia"/>
              </w:rPr>
              <w:t>口头与书面表达能力（10分）</w:t>
            </w:r>
          </w:p>
        </w:tc>
        <w:tc>
          <w:tcPr>
            <w:tcW w:w="1839" w:type="dxa"/>
            <w:noWrap w:val="0"/>
            <w:vAlign w:val="center"/>
          </w:tcPr>
          <w:p>
            <w:pPr>
              <w:jc w:val="center"/>
              <w:rPr>
                <w:rFonts w:hint="eastAsia"/>
              </w:rPr>
            </w:pPr>
            <w:r>
              <w:rPr>
                <w:rFonts w:hint="eastAsia"/>
              </w:rPr>
              <w:t>总  分</w:t>
            </w:r>
          </w:p>
          <w:p>
            <w:pPr>
              <w:jc w:val="center"/>
              <w:rPr>
                <w:rFonts w:hint="eastAsia"/>
              </w:rPr>
            </w:pPr>
            <w:r>
              <w:rPr>
                <w:rFonts w:hint="eastAsia"/>
              </w:rPr>
              <w:t>（100分）</w:t>
            </w:r>
          </w:p>
        </w:tc>
        <w:tc>
          <w:tcPr>
            <w:tcW w:w="1580" w:type="dxa"/>
            <w:noWrap w:val="0"/>
            <w:vAlign w:val="center"/>
          </w:tcPr>
          <w:p>
            <w:pPr>
              <w:jc w:val="center"/>
              <w:rPr>
                <w:rFonts w:hint="eastAsia"/>
                <w:lang w:val="en-US" w:eastAsia="zh-CN"/>
              </w:rPr>
            </w:pPr>
          </w:p>
          <w:p>
            <w:pPr>
              <w:jc w:val="center"/>
              <w:rPr>
                <w:rFonts w:hint="eastAsia"/>
                <w:lang w:val="en-US" w:eastAsia="zh-CN"/>
              </w:rPr>
            </w:pPr>
            <w:r>
              <w:rPr>
                <w:rFonts w:hint="eastAsia"/>
                <w:lang w:val="en-US" w:eastAsia="zh-CN"/>
              </w:rPr>
              <w:t>考核等级</w:t>
            </w:r>
          </w:p>
          <w:p>
            <w:pPr>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 w:type="dxa"/>
            <w:noWrap w:val="0"/>
            <w:vAlign w:val="top"/>
          </w:tcPr>
          <w:p>
            <w:pPr>
              <w:rPr>
                <w:rFonts w:hint="eastAsia"/>
                <w:sz w:val="28"/>
                <w:szCs w:val="28"/>
              </w:rPr>
            </w:pPr>
            <w:bookmarkStart w:id="0" w:name="_GoBack"/>
            <w:bookmarkEnd w:id="0"/>
          </w:p>
        </w:tc>
        <w:tc>
          <w:tcPr>
            <w:tcW w:w="1380" w:type="dxa"/>
            <w:noWrap w:val="0"/>
            <w:vAlign w:val="top"/>
          </w:tcPr>
          <w:p>
            <w:pPr>
              <w:rPr>
                <w:rFonts w:hint="eastAsia"/>
                <w:sz w:val="28"/>
                <w:szCs w:val="28"/>
              </w:rPr>
            </w:pPr>
          </w:p>
        </w:tc>
        <w:tc>
          <w:tcPr>
            <w:tcW w:w="1515" w:type="dxa"/>
            <w:noWrap w:val="0"/>
            <w:vAlign w:val="top"/>
          </w:tcPr>
          <w:p>
            <w:pPr>
              <w:rPr>
                <w:rFonts w:hint="eastAsia"/>
                <w:sz w:val="28"/>
                <w:szCs w:val="28"/>
              </w:rPr>
            </w:pPr>
          </w:p>
        </w:tc>
        <w:tc>
          <w:tcPr>
            <w:tcW w:w="2055" w:type="dxa"/>
            <w:noWrap w:val="0"/>
            <w:vAlign w:val="top"/>
          </w:tcPr>
          <w:p>
            <w:pPr>
              <w:rPr>
                <w:rFonts w:hint="eastAsia"/>
                <w:sz w:val="28"/>
                <w:szCs w:val="28"/>
              </w:rPr>
            </w:pPr>
          </w:p>
        </w:tc>
        <w:tc>
          <w:tcPr>
            <w:tcW w:w="1860" w:type="dxa"/>
            <w:noWrap w:val="0"/>
            <w:vAlign w:val="top"/>
          </w:tcPr>
          <w:p>
            <w:pPr>
              <w:rPr>
                <w:rFonts w:hint="eastAsia"/>
                <w:sz w:val="28"/>
                <w:szCs w:val="28"/>
              </w:rPr>
            </w:pPr>
          </w:p>
        </w:tc>
        <w:tc>
          <w:tcPr>
            <w:tcW w:w="1800" w:type="dxa"/>
            <w:noWrap w:val="0"/>
            <w:vAlign w:val="top"/>
          </w:tcPr>
          <w:p>
            <w:pPr>
              <w:rPr>
                <w:rFonts w:hint="eastAsia"/>
                <w:sz w:val="28"/>
                <w:szCs w:val="28"/>
              </w:rPr>
            </w:pPr>
          </w:p>
        </w:tc>
        <w:tc>
          <w:tcPr>
            <w:tcW w:w="1845" w:type="dxa"/>
            <w:noWrap w:val="0"/>
            <w:vAlign w:val="top"/>
          </w:tcPr>
          <w:p>
            <w:pPr>
              <w:rPr>
                <w:rFonts w:hint="eastAsia"/>
                <w:sz w:val="28"/>
                <w:szCs w:val="28"/>
              </w:rPr>
            </w:pPr>
          </w:p>
        </w:tc>
        <w:tc>
          <w:tcPr>
            <w:tcW w:w="1839" w:type="dxa"/>
            <w:noWrap w:val="0"/>
            <w:vAlign w:val="top"/>
          </w:tcPr>
          <w:p>
            <w:pPr>
              <w:rPr>
                <w:rFonts w:hint="eastAsia"/>
                <w:sz w:val="28"/>
                <w:szCs w:val="28"/>
              </w:rPr>
            </w:pPr>
          </w:p>
        </w:tc>
        <w:tc>
          <w:tcPr>
            <w:tcW w:w="1580" w:type="dxa"/>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noWrap w:val="0"/>
            <w:vAlign w:val="top"/>
          </w:tcPr>
          <w:p>
            <w:pPr>
              <w:rPr>
                <w:rFonts w:hint="eastAsia"/>
                <w:sz w:val="28"/>
                <w:szCs w:val="28"/>
              </w:rPr>
            </w:pPr>
          </w:p>
        </w:tc>
        <w:tc>
          <w:tcPr>
            <w:tcW w:w="1380" w:type="dxa"/>
            <w:noWrap w:val="0"/>
            <w:vAlign w:val="top"/>
          </w:tcPr>
          <w:p>
            <w:pPr>
              <w:rPr>
                <w:rFonts w:hint="eastAsia"/>
                <w:sz w:val="28"/>
                <w:szCs w:val="28"/>
              </w:rPr>
            </w:pPr>
          </w:p>
        </w:tc>
        <w:tc>
          <w:tcPr>
            <w:tcW w:w="1515" w:type="dxa"/>
            <w:noWrap w:val="0"/>
            <w:vAlign w:val="top"/>
          </w:tcPr>
          <w:p>
            <w:pPr>
              <w:rPr>
                <w:rFonts w:hint="eastAsia"/>
                <w:sz w:val="28"/>
                <w:szCs w:val="28"/>
              </w:rPr>
            </w:pPr>
          </w:p>
        </w:tc>
        <w:tc>
          <w:tcPr>
            <w:tcW w:w="2055" w:type="dxa"/>
            <w:noWrap w:val="0"/>
            <w:vAlign w:val="top"/>
          </w:tcPr>
          <w:p>
            <w:pPr>
              <w:rPr>
                <w:rFonts w:hint="eastAsia"/>
                <w:sz w:val="28"/>
                <w:szCs w:val="28"/>
              </w:rPr>
            </w:pPr>
          </w:p>
        </w:tc>
        <w:tc>
          <w:tcPr>
            <w:tcW w:w="1860" w:type="dxa"/>
            <w:noWrap w:val="0"/>
            <w:vAlign w:val="top"/>
          </w:tcPr>
          <w:p>
            <w:pPr>
              <w:rPr>
                <w:rFonts w:hint="eastAsia"/>
                <w:sz w:val="28"/>
                <w:szCs w:val="28"/>
              </w:rPr>
            </w:pPr>
          </w:p>
        </w:tc>
        <w:tc>
          <w:tcPr>
            <w:tcW w:w="1800" w:type="dxa"/>
            <w:noWrap w:val="0"/>
            <w:vAlign w:val="top"/>
          </w:tcPr>
          <w:p>
            <w:pPr>
              <w:rPr>
                <w:rFonts w:hint="eastAsia"/>
                <w:sz w:val="28"/>
                <w:szCs w:val="28"/>
              </w:rPr>
            </w:pPr>
          </w:p>
        </w:tc>
        <w:tc>
          <w:tcPr>
            <w:tcW w:w="1845" w:type="dxa"/>
            <w:noWrap w:val="0"/>
            <w:vAlign w:val="top"/>
          </w:tcPr>
          <w:p>
            <w:pPr>
              <w:rPr>
                <w:rFonts w:hint="eastAsia"/>
                <w:sz w:val="28"/>
                <w:szCs w:val="28"/>
              </w:rPr>
            </w:pPr>
          </w:p>
        </w:tc>
        <w:tc>
          <w:tcPr>
            <w:tcW w:w="1839" w:type="dxa"/>
            <w:noWrap w:val="0"/>
            <w:vAlign w:val="top"/>
          </w:tcPr>
          <w:p>
            <w:pPr>
              <w:rPr>
                <w:rFonts w:hint="eastAsia"/>
                <w:sz w:val="28"/>
                <w:szCs w:val="28"/>
              </w:rPr>
            </w:pPr>
          </w:p>
        </w:tc>
        <w:tc>
          <w:tcPr>
            <w:tcW w:w="1580" w:type="dxa"/>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noWrap w:val="0"/>
            <w:vAlign w:val="top"/>
          </w:tcPr>
          <w:p>
            <w:pPr>
              <w:rPr>
                <w:rFonts w:hint="eastAsia"/>
                <w:sz w:val="28"/>
                <w:szCs w:val="28"/>
              </w:rPr>
            </w:pPr>
          </w:p>
        </w:tc>
        <w:tc>
          <w:tcPr>
            <w:tcW w:w="1380" w:type="dxa"/>
            <w:noWrap w:val="0"/>
            <w:vAlign w:val="top"/>
          </w:tcPr>
          <w:p>
            <w:pPr>
              <w:rPr>
                <w:rFonts w:hint="eastAsia"/>
                <w:sz w:val="28"/>
                <w:szCs w:val="28"/>
              </w:rPr>
            </w:pPr>
          </w:p>
        </w:tc>
        <w:tc>
          <w:tcPr>
            <w:tcW w:w="1515" w:type="dxa"/>
            <w:noWrap w:val="0"/>
            <w:vAlign w:val="top"/>
          </w:tcPr>
          <w:p>
            <w:pPr>
              <w:rPr>
                <w:rFonts w:hint="eastAsia"/>
                <w:sz w:val="28"/>
                <w:szCs w:val="28"/>
              </w:rPr>
            </w:pPr>
          </w:p>
        </w:tc>
        <w:tc>
          <w:tcPr>
            <w:tcW w:w="2055" w:type="dxa"/>
            <w:noWrap w:val="0"/>
            <w:vAlign w:val="top"/>
          </w:tcPr>
          <w:p>
            <w:pPr>
              <w:rPr>
                <w:rFonts w:hint="eastAsia"/>
                <w:sz w:val="28"/>
                <w:szCs w:val="28"/>
              </w:rPr>
            </w:pPr>
          </w:p>
        </w:tc>
        <w:tc>
          <w:tcPr>
            <w:tcW w:w="1860" w:type="dxa"/>
            <w:noWrap w:val="0"/>
            <w:vAlign w:val="top"/>
          </w:tcPr>
          <w:p>
            <w:pPr>
              <w:rPr>
                <w:rFonts w:hint="eastAsia"/>
                <w:sz w:val="28"/>
                <w:szCs w:val="28"/>
              </w:rPr>
            </w:pPr>
          </w:p>
        </w:tc>
        <w:tc>
          <w:tcPr>
            <w:tcW w:w="1800" w:type="dxa"/>
            <w:noWrap w:val="0"/>
            <w:vAlign w:val="top"/>
          </w:tcPr>
          <w:p>
            <w:pPr>
              <w:rPr>
                <w:rFonts w:hint="eastAsia"/>
                <w:sz w:val="28"/>
                <w:szCs w:val="28"/>
              </w:rPr>
            </w:pPr>
          </w:p>
        </w:tc>
        <w:tc>
          <w:tcPr>
            <w:tcW w:w="1845" w:type="dxa"/>
            <w:noWrap w:val="0"/>
            <w:vAlign w:val="top"/>
          </w:tcPr>
          <w:p>
            <w:pPr>
              <w:rPr>
                <w:rFonts w:hint="eastAsia"/>
                <w:sz w:val="28"/>
                <w:szCs w:val="28"/>
              </w:rPr>
            </w:pPr>
          </w:p>
        </w:tc>
        <w:tc>
          <w:tcPr>
            <w:tcW w:w="1839" w:type="dxa"/>
            <w:noWrap w:val="0"/>
            <w:vAlign w:val="top"/>
          </w:tcPr>
          <w:p>
            <w:pPr>
              <w:rPr>
                <w:rFonts w:hint="eastAsia"/>
                <w:sz w:val="28"/>
                <w:szCs w:val="28"/>
              </w:rPr>
            </w:pPr>
          </w:p>
        </w:tc>
        <w:tc>
          <w:tcPr>
            <w:tcW w:w="1580" w:type="dxa"/>
            <w:noWrap w:val="0"/>
            <w:vAlign w:val="top"/>
          </w:tcPr>
          <w:p>
            <w:pPr>
              <w:rPr>
                <w:rFonts w:hint="eastAsia"/>
                <w:sz w:val="28"/>
                <w:szCs w:val="28"/>
              </w:rPr>
            </w:pPr>
          </w:p>
        </w:tc>
      </w:tr>
    </w:tbl>
    <w:p>
      <w:pPr>
        <w:ind w:firstLine="240" w:firstLineChars="100"/>
        <w:rPr>
          <w:rFonts w:hint="eastAsia"/>
          <w:sz w:val="24"/>
        </w:rPr>
      </w:pPr>
    </w:p>
    <w:p>
      <w:pPr>
        <w:ind w:firstLine="240" w:firstLineChars="100"/>
        <w:rPr>
          <w:rFonts w:hint="eastAsia"/>
          <w:sz w:val="24"/>
        </w:rPr>
      </w:pPr>
      <w:r>
        <w:rPr>
          <w:rFonts w:hint="eastAsia"/>
          <w:sz w:val="24"/>
        </w:rPr>
        <w:t>注：</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笔试成绩：笔试成绩由研究生院根据现有成绩库导出，不再单独组织考试。高级微观经济学、高级宏观经济学、高级计量经济学、研究方法和一级学科经典文献等五个部分考试由研究生院按一级学科统一组织，考试成绩以研究生院提供成绩为准；专业经典文献的考试由学院按</w:t>
      </w:r>
      <w:r>
        <w:rPr>
          <w:rFonts w:hint="eastAsia" w:ascii="宋体" w:hAnsi="宋体" w:eastAsia="宋体" w:cs="宋体"/>
          <w:sz w:val="21"/>
          <w:szCs w:val="21"/>
          <w:lang w:val="en-US" w:eastAsia="zh-CN"/>
        </w:rPr>
        <w:t>专业</w:t>
      </w:r>
      <w:r>
        <w:rPr>
          <w:rFonts w:hint="eastAsia" w:ascii="宋体" w:hAnsi="宋体" w:eastAsia="宋体" w:cs="宋体"/>
          <w:sz w:val="21"/>
          <w:szCs w:val="21"/>
        </w:rPr>
        <w:t>组织，考试成绩以</w:t>
      </w:r>
      <w:r>
        <w:rPr>
          <w:rFonts w:hint="eastAsia" w:ascii="宋体" w:hAnsi="宋体" w:eastAsia="宋体" w:cs="宋体"/>
          <w:sz w:val="21"/>
          <w:szCs w:val="21"/>
          <w:lang w:val="en-US" w:eastAsia="zh-CN"/>
        </w:rPr>
        <w:t>学院研究生工作办公室</w:t>
      </w:r>
      <w:r>
        <w:rPr>
          <w:rFonts w:hint="eastAsia" w:ascii="宋体" w:hAnsi="宋体" w:eastAsia="宋体" w:cs="宋体"/>
          <w:sz w:val="21"/>
          <w:szCs w:val="21"/>
        </w:rPr>
        <w:t>提供成绩为准。笔试综合成绩为各科成绩的算术平均值，占总成绩30%权重。</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论著发表：考核博士研究生入学以来的论文发表、专著出版情况，具体评分标准参照《中南财经政法研究生科研成果评定标准》。</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文献综述与研究报告撰写：考核博士研究生围绕论文选题开展的文献回顾工作和撰写的研究报告、尚未发表的论文。</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分析与解决问题能力：考核博士研究生运用辨证逻辑思维方式分析问题的能力，利用掌握的理论和方法解决具体研究问题的能力。</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未来研究设想的可行性：论证博士研究生对未来研究选题、研究框架、研究方法、研究数据所做计划的可行性。</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口头与书面表达能力：考核博士研究生口头语言和书面语言表达自己思想、观点和情感的能力</w:t>
      </w:r>
    </w:p>
    <w:p>
      <w:pPr>
        <w:numPr>
          <w:ilvl w:val="0"/>
          <w:numId w:val="1"/>
        </w:numPr>
        <w:rPr>
          <w:rFonts w:hint="eastAsia" w:ascii="宋体" w:hAnsi="宋体" w:eastAsia="宋体" w:cs="宋体"/>
          <w:sz w:val="21"/>
          <w:szCs w:val="21"/>
        </w:rPr>
      </w:pPr>
      <w:r>
        <w:rPr>
          <w:rFonts w:hint="eastAsia" w:ascii="宋体" w:hAnsi="宋体" w:eastAsia="宋体" w:cs="宋体"/>
          <w:color w:val="000000"/>
          <w:sz w:val="21"/>
          <w:szCs w:val="21"/>
        </w:rPr>
        <w:t>中期考核等级</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优秀</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85-100分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、合格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60-84分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不合格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60分以下</w:t>
      </w:r>
      <w:r>
        <w:rPr>
          <w:rFonts w:hint="eastAsia" w:ascii="宋体" w:hAnsi="宋体" w:eastAsia="宋体" w:cs="宋体"/>
          <w:color w:val="000000"/>
          <w:sz w:val="21"/>
          <w:szCs w:val="21"/>
          <w:lang w:eastAsia="zh-CN"/>
        </w:rPr>
        <w:t>）</w:t>
      </w:r>
    </w:p>
    <w:p>
      <w:pPr>
        <w:ind w:firstLine="210" w:firstLineChars="100"/>
        <w:rPr>
          <w:rFonts w:hint="eastAsia" w:ascii="宋体" w:hAnsi="宋体" w:eastAsia="宋体" w:cs="宋体"/>
          <w:sz w:val="21"/>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F5DF5"/>
    <w:multiLevelType w:val="multilevel"/>
    <w:tmpl w:val="43AF5DF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D4525"/>
    <w:rsid w:val="11F37A1C"/>
    <w:rsid w:val="141A7667"/>
    <w:rsid w:val="177F1D1B"/>
    <w:rsid w:val="19F460EC"/>
    <w:rsid w:val="21C4248D"/>
    <w:rsid w:val="27EE3F5B"/>
    <w:rsid w:val="2BAE1154"/>
    <w:rsid w:val="2D133BC5"/>
    <w:rsid w:val="37C146C3"/>
    <w:rsid w:val="43240575"/>
    <w:rsid w:val="4B7F1221"/>
    <w:rsid w:val="517B5BE2"/>
    <w:rsid w:val="5ED91D61"/>
    <w:rsid w:val="618123F0"/>
    <w:rsid w:val="69B5327C"/>
    <w:rsid w:val="6E3E2327"/>
    <w:rsid w:val="6FBD2A17"/>
    <w:rsid w:val="7066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jocelyn</cp:lastModifiedBy>
  <dcterms:modified xsi:type="dcterms:W3CDTF">2021-11-15T14:30:25Z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1D5C01D9281041229B5910F0ED8F78B6</vt:lpwstr>
  </property>
</Properties>
</file>