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53"/>
        <w:gridCol w:w="904"/>
        <w:gridCol w:w="1241"/>
        <w:gridCol w:w="1024"/>
        <w:gridCol w:w="1142"/>
        <w:gridCol w:w="1024"/>
        <w:gridCol w:w="1416"/>
        <w:gridCol w:w="1673"/>
        <w:gridCol w:w="887"/>
        <w:gridCol w:w="1116"/>
        <w:gridCol w:w="729"/>
        <w:gridCol w:w="3646"/>
        <w:gridCol w:w="1936"/>
        <w:gridCol w:w="899"/>
        <w:gridCol w:w="1499"/>
        <w:gridCol w:w="1282"/>
      </w:tblGrid>
      <w:tr w:rsidR="00BC51DB" w:rsidRPr="00BC51DB" w:rsidTr="00BC51DB">
        <w:trPr>
          <w:trHeight w:val="405"/>
          <w:jc w:val="center"/>
        </w:trPr>
        <w:tc>
          <w:tcPr>
            <w:tcW w:w="22398" w:type="dxa"/>
            <w:gridSpan w:val="17"/>
            <w:shd w:val="clear" w:color="auto" w:fill="auto"/>
            <w:vAlign w:val="center"/>
            <w:hideMark/>
          </w:tcPr>
          <w:p w:rsidR="00BC51DB" w:rsidRPr="00BC51DB" w:rsidRDefault="00BC51DB" w:rsidP="00BC51DB">
            <w:pPr>
              <w:widowControl/>
              <w:jc w:val="center"/>
              <w:rPr>
                <w:rFonts w:ascii="宋体" w:eastAsia="宋体" w:hAnsi="宋体" w:cs="宋体"/>
                <w:b/>
                <w:bCs/>
                <w:kern w:val="0"/>
                <w:sz w:val="36"/>
                <w:szCs w:val="36"/>
              </w:rPr>
            </w:pPr>
            <w:r w:rsidRPr="00BC51DB">
              <w:rPr>
                <w:rFonts w:ascii="宋体" w:eastAsia="宋体" w:hAnsi="宋体" w:cs="宋体" w:hint="eastAsia"/>
                <w:b/>
                <w:bCs/>
                <w:kern w:val="0"/>
                <w:sz w:val="36"/>
                <w:szCs w:val="36"/>
              </w:rPr>
              <w:t>6.新增硕士研究生合作指导教师名单汇总表</w:t>
            </w:r>
          </w:p>
        </w:tc>
      </w:tr>
      <w:tr w:rsidR="00BC51DB" w:rsidRPr="00BC51DB" w:rsidTr="0084180C">
        <w:trPr>
          <w:trHeight w:val="600"/>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序号</w:t>
            </w:r>
          </w:p>
        </w:tc>
        <w:tc>
          <w:tcPr>
            <w:tcW w:w="155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学院</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姓名</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出生年月</w:t>
            </w:r>
          </w:p>
        </w:tc>
        <w:tc>
          <w:tcPr>
            <w:tcW w:w="1024"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申请</w:t>
            </w:r>
          </w:p>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专业</w:t>
            </w:r>
          </w:p>
        </w:tc>
        <w:tc>
          <w:tcPr>
            <w:tcW w:w="1142"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最后学历</w:t>
            </w:r>
          </w:p>
        </w:tc>
        <w:tc>
          <w:tcPr>
            <w:tcW w:w="1024"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最后</w:t>
            </w:r>
          </w:p>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学位</w:t>
            </w:r>
          </w:p>
        </w:tc>
        <w:tc>
          <w:tcPr>
            <w:tcW w:w="14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工作单位</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工作单位类别</w:t>
            </w:r>
            <w:r w:rsidRPr="00BC51DB">
              <w:rPr>
                <w:rFonts w:ascii="Times New Roman" w:eastAsia="宋体" w:hAnsi="Times New Roman" w:cs="Times New Roman"/>
                <w:b/>
                <w:bCs/>
                <w:kern w:val="0"/>
                <w:szCs w:val="21"/>
              </w:rPr>
              <w:br/>
            </w:r>
            <w:r w:rsidRPr="00BC51DB">
              <w:rPr>
                <w:rFonts w:ascii="Times New Roman" w:eastAsia="宋体" w:hAnsi="Times New Roman" w:cs="Times New Roman"/>
                <w:b/>
                <w:bCs/>
                <w:kern w:val="0"/>
                <w:szCs w:val="21"/>
              </w:rPr>
              <w:t>（实施公务员法机关</w:t>
            </w:r>
            <w:r w:rsidRPr="00BC51DB">
              <w:rPr>
                <w:rFonts w:ascii="Times New Roman" w:eastAsia="宋体" w:hAnsi="Times New Roman" w:cs="Times New Roman"/>
                <w:b/>
                <w:bCs/>
                <w:kern w:val="0"/>
                <w:szCs w:val="21"/>
              </w:rPr>
              <w:t>/</w:t>
            </w:r>
            <w:r w:rsidRPr="00BC51DB">
              <w:rPr>
                <w:rFonts w:ascii="Times New Roman" w:eastAsia="宋体" w:hAnsi="Times New Roman" w:cs="Times New Roman"/>
                <w:b/>
                <w:bCs/>
                <w:kern w:val="0"/>
                <w:szCs w:val="21"/>
              </w:rPr>
              <w:t>参照公务员法管理机关（单位）</w:t>
            </w:r>
            <w:r w:rsidRPr="00BC51DB">
              <w:rPr>
                <w:rFonts w:ascii="Times New Roman" w:eastAsia="宋体" w:hAnsi="Times New Roman" w:cs="Times New Roman"/>
                <w:b/>
                <w:bCs/>
                <w:kern w:val="0"/>
                <w:szCs w:val="21"/>
              </w:rPr>
              <w:t>/</w:t>
            </w:r>
            <w:r w:rsidRPr="00BC51DB">
              <w:rPr>
                <w:rFonts w:ascii="Times New Roman" w:eastAsia="宋体" w:hAnsi="Times New Roman" w:cs="Times New Roman"/>
                <w:b/>
                <w:bCs/>
                <w:kern w:val="0"/>
                <w:szCs w:val="21"/>
              </w:rPr>
              <w:t>国有企事业单位</w:t>
            </w:r>
            <w:r w:rsidRPr="00BC51DB">
              <w:rPr>
                <w:rFonts w:ascii="Times New Roman" w:eastAsia="宋体" w:hAnsi="Times New Roman" w:cs="Times New Roman"/>
                <w:b/>
                <w:bCs/>
                <w:kern w:val="0"/>
                <w:szCs w:val="21"/>
              </w:rPr>
              <w:t>/</w:t>
            </w:r>
            <w:r w:rsidRPr="00BC51DB">
              <w:rPr>
                <w:rFonts w:ascii="Times New Roman" w:eastAsia="宋体" w:hAnsi="Times New Roman" w:cs="Times New Roman"/>
                <w:b/>
                <w:bCs/>
                <w:kern w:val="0"/>
                <w:szCs w:val="21"/>
              </w:rPr>
              <w:t>高校、科研院所</w:t>
            </w:r>
            <w:r w:rsidRPr="00BC51DB">
              <w:rPr>
                <w:rFonts w:ascii="Times New Roman" w:eastAsia="宋体" w:hAnsi="Times New Roman" w:cs="Times New Roman"/>
                <w:b/>
                <w:bCs/>
                <w:kern w:val="0"/>
                <w:szCs w:val="21"/>
              </w:rPr>
              <w:t>/</w:t>
            </w:r>
            <w:r w:rsidRPr="00BC51DB">
              <w:rPr>
                <w:rFonts w:ascii="Times New Roman" w:eastAsia="宋体" w:hAnsi="Times New Roman" w:cs="Times New Roman"/>
                <w:b/>
                <w:bCs/>
                <w:kern w:val="0"/>
                <w:szCs w:val="21"/>
              </w:rPr>
              <w:t>民营企业等）</w:t>
            </w:r>
          </w:p>
        </w:tc>
        <w:tc>
          <w:tcPr>
            <w:tcW w:w="887"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专业</w:t>
            </w:r>
          </w:p>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技术</w:t>
            </w:r>
          </w:p>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职称</w:t>
            </w:r>
          </w:p>
        </w:tc>
        <w:tc>
          <w:tcPr>
            <w:tcW w:w="11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担任职务</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相关实践领域工作年限</w:t>
            </w:r>
          </w:p>
        </w:tc>
        <w:tc>
          <w:tcPr>
            <w:tcW w:w="364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工作业绩及社会影响</w:t>
            </w:r>
          </w:p>
        </w:tc>
        <w:tc>
          <w:tcPr>
            <w:tcW w:w="5616" w:type="dxa"/>
            <w:gridSpan w:val="4"/>
            <w:shd w:val="clear" w:color="auto" w:fill="auto"/>
            <w:vAlign w:val="center"/>
            <w:hideMark/>
          </w:tcPr>
          <w:p w:rsidR="004D7B0B" w:rsidRDefault="00BC51DB" w:rsidP="004D7B0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近五年科研成果及获奖情况</w:t>
            </w:r>
          </w:p>
          <w:p w:rsidR="00BC51DB" w:rsidRPr="00BC51DB" w:rsidRDefault="00BC51DB" w:rsidP="004D7B0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（注：发表的学术论文或学术著作或科研项目）</w:t>
            </w:r>
          </w:p>
        </w:tc>
      </w:tr>
      <w:tr w:rsidR="00BC51DB" w:rsidRPr="00BC51DB" w:rsidTr="0084180C">
        <w:trPr>
          <w:trHeight w:val="48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1936"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成果名称</w:t>
            </w:r>
            <w:r w:rsidRPr="00BC51DB">
              <w:rPr>
                <w:rFonts w:ascii="Times New Roman" w:eastAsia="宋体" w:hAnsi="Times New Roman" w:cs="Times New Roman"/>
                <w:b/>
                <w:bCs/>
                <w:kern w:val="0"/>
                <w:szCs w:val="21"/>
              </w:rPr>
              <w:t>/</w:t>
            </w:r>
            <w:r w:rsidRPr="00BC51DB">
              <w:rPr>
                <w:rFonts w:ascii="Times New Roman" w:eastAsia="宋体" w:hAnsi="Times New Roman" w:cs="Times New Roman"/>
                <w:b/>
                <w:bCs/>
                <w:kern w:val="0"/>
                <w:szCs w:val="21"/>
              </w:rPr>
              <w:t>著作名称</w:t>
            </w:r>
            <w:r w:rsidRPr="00BC51DB">
              <w:rPr>
                <w:rFonts w:ascii="Times New Roman" w:eastAsia="宋体" w:hAnsi="Times New Roman" w:cs="Times New Roman"/>
                <w:b/>
                <w:bCs/>
                <w:kern w:val="0"/>
                <w:szCs w:val="21"/>
              </w:rPr>
              <w:t>/</w:t>
            </w:r>
            <w:r w:rsidRPr="00BC51DB">
              <w:rPr>
                <w:rFonts w:ascii="Times New Roman" w:eastAsia="宋体" w:hAnsi="Times New Roman" w:cs="Times New Roman"/>
                <w:b/>
                <w:bCs/>
                <w:kern w:val="0"/>
                <w:szCs w:val="21"/>
              </w:rPr>
              <w:t>科研项目</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时间</w:t>
            </w:r>
          </w:p>
        </w:tc>
        <w:tc>
          <w:tcPr>
            <w:tcW w:w="1499" w:type="dxa"/>
            <w:shd w:val="clear" w:color="auto" w:fill="auto"/>
            <w:vAlign w:val="center"/>
            <w:hideMark/>
          </w:tcPr>
          <w:p w:rsidR="004D7B0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发表刊物与</w:t>
            </w:r>
          </w:p>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出版单位</w:t>
            </w:r>
          </w:p>
        </w:tc>
        <w:tc>
          <w:tcPr>
            <w:tcW w:w="1282"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b/>
                <w:bCs/>
                <w:kern w:val="0"/>
                <w:szCs w:val="21"/>
              </w:rPr>
            </w:pPr>
            <w:r w:rsidRPr="00BC51DB">
              <w:rPr>
                <w:rFonts w:ascii="Times New Roman" w:eastAsia="宋体" w:hAnsi="Times New Roman" w:cs="Times New Roman"/>
                <w:b/>
                <w:bCs/>
                <w:kern w:val="0"/>
                <w:szCs w:val="21"/>
              </w:rPr>
              <w:t>备注</w:t>
            </w:r>
          </w:p>
        </w:tc>
      </w:tr>
      <w:tr w:rsidR="00BC51DB" w:rsidRPr="00BC51DB" w:rsidTr="0084180C">
        <w:trPr>
          <w:trHeight w:val="510"/>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w:t>
            </w:r>
          </w:p>
        </w:tc>
        <w:tc>
          <w:tcPr>
            <w:tcW w:w="1553" w:type="dxa"/>
            <w:vMerge w:val="restart"/>
            <w:shd w:val="clear" w:color="auto" w:fill="auto"/>
            <w:vAlign w:val="center"/>
            <w:hideMark/>
          </w:tcPr>
          <w:p w:rsid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工商管理学院</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教育</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中心</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黄书立</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19830927</w:t>
            </w:r>
          </w:p>
        </w:tc>
        <w:tc>
          <w:tcPr>
            <w:tcW w:w="1024" w:type="dxa"/>
            <w:vMerge w:val="restart"/>
            <w:shd w:val="clear" w:color="auto" w:fill="auto"/>
            <w:vAlign w:val="center"/>
            <w:hideMark/>
          </w:tcPr>
          <w:p w:rsid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管理</w:t>
            </w:r>
          </w:p>
        </w:tc>
        <w:tc>
          <w:tcPr>
            <w:tcW w:w="1142"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硕士</w:t>
            </w:r>
          </w:p>
        </w:tc>
        <w:tc>
          <w:tcPr>
            <w:tcW w:w="102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法学</w:t>
            </w:r>
          </w:p>
        </w:tc>
        <w:tc>
          <w:tcPr>
            <w:tcW w:w="14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上海维熙律师事务所</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其他</w:t>
            </w:r>
          </w:p>
        </w:tc>
        <w:tc>
          <w:tcPr>
            <w:tcW w:w="88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律师</w:t>
            </w:r>
            <w:r w:rsidRPr="00BC51DB">
              <w:rPr>
                <w:rFonts w:ascii="Times New Roman" w:eastAsia="宋体" w:hAnsi="Times New Roman" w:cs="Times New Roman"/>
                <w:kern w:val="0"/>
                <w:szCs w:val="21"/>
              </w:rPr>
              <w:t>&amp;</w:t>
            </w:r>
            <w:r w:rsidRPr="00BC51DB">
              <w:rPr>
                <w:rFonts w:ascii="Times New Roman" w:eastAsia="宋体" w:hAnsi="Times New Roman" w:cs="Times New Roman"/>
                <w:kern w:val="0"/>
                <w:szCs w:val="21"/>
              </w:rPr>
              <w:t>专利代理师</w:t>
            </w:r>
          </w:p>
        </w:tc>
        <w:tc>
          <w:tcPr>
            <w:tcW w:w="11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联合</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创始人</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12</w:t>
            </w:r>
          </w:p>
        </w:tc>
        <w:tc>
          <w:tcPr>
            <w:tcW w:w="3646" w:type="dxa"/>
            <w:vMerge w:val="restart"/>
            <w:shd w:val="clear" w:color="auto" w:fill="auto"/>
            <w:vAlign w:val="center"/>
            <w:hideMark/>
          </w:tcPr>
          <w:p w:rsidR="00BC51DB" w:rsidRPr="00BC51DB" w:rsidRDefault="00BC51DB" w:rsidP="005E2753">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曾在全球领先的综合通信解决方案提供商中兴通讯</w:t>
            </w:r>
            <w:r w:rsidR="005E2753">
              <w:rPr>
                <w:rFonts w:ascii="Times New Roman" w:eastAsia="宋体" w:hAnsi="Times New Roman" w:cs="Times New Roman" w:hint="eastAsia"/>
                <w:kern w:val="0"/>
                <w:szCs w:val="21"/>
              </w:rPr>
              <w:t>公司，</w:t>
            </w:r>
            <w:r w:rsidRPr="00BC51DB">
              <w:rPr>
                <w:rFonts w:ascii="Times New Roman" w:eastAsia="宋体" w:hAnsi="Times New Roman" w:cs="Times New Roman"/>
                <w:kern w:val="0"/>
                <w:szCs w:val="21"/>
              </w:rPr>
              <w:t>担任知识产权经理，负责产品线全球知识产权计划制定和执行，包括国内外专利布局、专利许可谈判，专利诉讼及无效，专利运营和商标版权管理工作。参与全球通讯技术从</w:t>
            </w:r>
            <w:r w:rsidRPr="00BC51DB">
              <w:rPr>
                <w:rFonts w:ascii="Times New Roman" w:eastAsia="宋体" w:hAnsi="Times New Roman" w:cs="Times New Roman"/>
                <w:kern w:val="0"/>
                <w:szCs w:val="21"/>
              </w:rPr>
              <w:t>3G</w:t>
            </w:r>
            <w:r w:rsidRPr="00BC51DB">
              <w:rPr>
                <w:rFonts w:ascii="Times New Roman" w:eastAsia="宋体" w:hAnsi="Times New Roman" w:cs="Times New Roman"/>
                <w:kern w:val="0"/>
                <w:szCs w:val="21"/>
              </w:rPr>
              <w:t>至</w:t>
            </w:r>
            <w:r w:rsidRPr="00BC51DB">
              <w:rPr>
                <w:rFonts w:ascii="Times New Roman" w:eastAsia="宋体" w:hAnsi="Times New Roman" w:cs="Times New Roman"/>
                <w:kern w:val="0"/>
                <w:szCs w:val="21"/>
              </w:rPr>
              <w:t>5G</w:t>
            </w:r>
            <w:r w:rsidRPr="00BC51DB">
              <w:rPr>
                <w:rFonts w:ascii="Times New Roman" w:eastAsia="宋体" w:hAnsi="Times New Roman" w:cs="Times New Roman"/>
                <w:kern w:val="0"/>
                <w:szCs w:val="21"/>
              </w:rPr>
              <w:t>预研发展过程中的标准专利布局工作；参与公司与</w:t>
            </w:r>
            <w:r w:rsidRPr="00BC51DB">
              <w:rPr>
                <w:rFonts w:ascii="Times New Roman" w:eastAsia="宋体" w:hAnsi="Times New Roman" w:cs="Times New Roman"/>
                <w:kern w:val="0"/>
                <w:szCs w:val="21"/>
              </w:rPr>
              <w:t>NTT DOCOMO</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Ericsson</w:t>
            </w:r>
            <w:r w:rsidRPr="00BC51DB">
              <w:rPr>
                <w:rFonts w:ascii="Times New Roman" w:eastAsia="宋体" w:hAnsi="Times New Roman" w:cs="Times New Roman"/>
                <w:kern w:val="0"/>
                <w:szCs w:val="21"/>
              </w:rPr>
              <w:t>和</w:t>
            </w:r>
            <w:r w:rsidRPr="00BC51DB">
              <w:rPr>
                <w:rFonts w:ascii="Times New Roman" w:eastAsia="宋体" w:hAnsi="Times New Roman" w:cs="Times New Roman"/>
                <w:kern w:val="0"/>
                <w:szCs w:val="21"/>
              </w:rPr>
              <w:t>Alcatel-Lucent</w:t>
            </w:r>
            <w:r w:rsidRPr="00BC51DB">
              <w:rPr>
                <w:rFonts w:ascii="Times New Roman" w:eastAsia="宋体" w:hAnsi="Times New Roman" w:cs="Times New Roman"/>
                <w:kern w:val="0"/>
                <w:szCs w:val="21"/>
              </w:rPr>
              <w:t>等知名企业的国际重大专利许可交易谈判等工作；为公司高效的国际化发展做了有力的</w:t>
            </w:r>
            <w:r w:rsidR="005E2753">
              <w:rPr>
                <w:rFonts w:ascii="Times New Roman" w:eastAsia="宋体" w:hAnsi="Times New Roman" w:cs="Times New Roman" w:hint="eastAsia"/>
                <w:kern w:val="0"/>
                <w:szCs w:val="21"/>
              </w:rPr>
              <w:t>贡献</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曾在国内领先人工智能虚拟现实科技公司乐相科技担任法务总监及董事长助理，统筹负责公司法律合规、知识产权、投融资和政府公共关系事务。为建立公司全面的法律事务及知识产权工作管理体系，并牵头参与完成公司多轮超亿元的融资工作。</w:t>
            </w: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曾在上海交通大学、同济大学和华东政法大学讲授知识产权战略及管理等课程；策划和支持国内首部</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知识产权金融</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实务专著的成稿及出版。</w:t>
            </w: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牵头联合创立上海维熙律师事务所，关注知识产权与资本交易密集的领域，包括智能科技、医疗健康、文化娱乐，为客户的商业发展提供全方位的法律服务。</w:t>
            </w: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作为上海市</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优秀毕业生</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，经过十多年的努力工作，专业能力及商业经验逐步得到社会认可。</w:t>
            </w:r>
            <w:r w:rsidR="005E2753">
              <w:rPr>
                <w:rFonts w:ascii="Times New Roman" w:eastAsia="宋体" w:hAnsi="Times New Roman" w:cs="Times New Roman" w:hint="eastAsia"/>
                <w:kern w:val="0"/>
                <w:szCs w:val="21"/>
              </w:rPr>
              <w:t>很</w:t>
            </w:r>
            <w:r w:rsidRPr="00BC51DB">
              <w:rPr>
                <w:rFonts w:ascii="Times New Roman" w:eastAsia="宋体" w:hAnsi="Times New Roman" w:cs="Times New Roman"/>
                <w:kern w:val="0"/>
                <w:szCs w:val="21"/>
              </w:rPr>
              <w:t>荣幸被多家单位受聘为专家顾问，包括受聘为华东政法大学第二届校友会理事及知识产权实务专家，上海浦东新区知识产权纠纷人民调解委员会调解员，中国（上海）自贸区试验区版权服务中心专家顾问，中控蓝港科技成果转化平台专家顾问和瑞士第一日内瓦基金大中华区专家顾问等。为社会知识产权保护及商业经济发展建言献策，贡献一份力量。</w:t>
            </w:r>
          </w:p>
        </w:tc>
        <w:tc>
          <w:tcPr>
            <w:tcW w:w="1936" w:type="dxa"/>
            <w:shd w:val="clear" w:color="auto" w:fill="auto"/>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《上市公司知识产权价值评估案例实证分析》</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2020.3</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IPR Daily</w:t>
            </w:r>
          </w:p>
        </w:tc>
        <w:tc>
          <w:tcPr>
            <w:tcW w:w="1282"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第二作者</w:t>
            </w:r>
          </w:p>
        </w:tc>
      </w:tr>
      <w:tr w:rsidR="00BC51DB" w:rsidRPr="00BC51DB" w:rsidTr="0084180C">
        <w:trPr>
          <w:trHeight w:val="51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BC51DB">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《现有知识产权资产证券化产品主要增信措施评述》</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2020.5</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IPR Daily</w:t>
            </w:r>
          </w:p>
        </w:tc>
        <w:tc>
          <w:tcPr>
            <w:tcW w:w="1282"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第三作者</w:t>
            </w:r>
          </w:p>
        </w:tc>
      </w:tr>
      <w:tr w:rsidR="00BC51DB" w:rsidRPr="00BC51DB" w:rsidTr="0084180C">
        <w:trPr>
          <w:trHeight w:val="51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BC51DB">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《知识产权交易平台发展现状与未来展望初探》</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2020.6</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IPR Daily</w:t>
            </w:r>
          </w:p>
        </w:tc>
        <w:tc>
          <w:tcPr>
            <w:tcW w:w="1282"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第二作者</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BC51DB">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《立讯精密美国</w:t>
            </w:r>
            <w:r w:rsidRPr="00BC51DB">
              <w:rPr>
                <w:rFonts w:ascii="Times New Roman" w:eastAsia="宋体" w:hAnsi="Times New Roman" w:cs="Times New Roman"/>
                <w:kern w:val="0"/>
                <w:szCs w:val="21"/>
              </w:rPr>
              <w:t>337</w:t>
            </w:r>
            <w:r w:rsidRPr="00BC51DB">
              <w:rPr>
                <w:rFonts w:ascii="Times New Roman" w:eastAsia="宋体" w:hAnsi="Times New Roman" w:cs="Times New Roman"/>
                <w:kern w:val="0"/>
                <w:szCs w:val="21"/>
              </w:rPr>
              <w:t>调查事件分析》</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2021.2</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IPR Daily</w:t>
            </w:r>
          </w:p>
        </w:tc>
        <w:tc>
          <w:tcPr>
            <w:tcW w:w="1282"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第一作者</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BC51DB">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《手游版权价值的评估分析》</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2021.7</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IPR Daily</w:t>
            </w:r>
          </w:p>
        </w:tc>
        <w:tc>
          <w:tcPr>
            <w:tcW w:w="1282"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第一作者</w:t>
            </w:r>
          </w:p>
        </w:tc>
      </w:tr>
      <w:tr w:rsidR="00BC51DB" w:rsidRPr="00BC51DB" w:rsidTr="0084180C">
        <w:trPr>
          <w:trHeight w:val="51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BC51DB">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十四五</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规划中的知识产权金融重点任务和工作措施评析》</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2022.1</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IPR Daily</w:t>
            </w:r>
          </w:p>
        </w:tc>
        <w:tc>
          <w:tcPr>
            <w:tcW w:w="1282"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第一作者</w:t>
            </w:r>
          </w:p>
        </w:tc>
      </w:tr>
      <w:tr w:rsidR="00BC51DB" w:rsidRPr="00BC51DB" w:rsidTr="0084180C">
        <w:trPr>
          <w:trHeight w:val="340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lastRenderedPageBreak/>
              <w:t>2</w:t>
            </w:r>
          </w:p>
        </w:tc>
        <w:tc>
          <w:tcPr>
            <w:tcW w:w="1553"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工商管理学院</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教育</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中心</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林宁宇</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19731130</w:t>
            </w:r>
          </w:p>
        </w:tc>
        <w:tc>
          <w:tcPr>
            <w:tcW w:w="1024"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管理</w:t>
            </w:r>
          </w:p>
        </w:tc>
        <w:tc>
          <w:tcPr>
            <w:tcW w:w="1142"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博士</w:t>
            </w:r>
          </w:p>
        </w:tc>
        <w:tc>
          <w:tcPr>
            <w:tcW w:w="102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法学</w:t>
            </w:r>
          </w:p>
        </w:tc>
        <w:tc>
          <w:tcPr>
            <w:tcW w:w="1416" w:type="dxa"/>
            <w:vMerge w:val="restart"/>
            <w:shd w:val="clear" w:color="auto" w:fill="auto"/>
            <w:vAlign w:val="center"/>
            <w:hideMark/>
          </w:tcPr>
          <w:p w:rsidR="00BC51DB" w:rsidRPr="00BC51DB" w:rsidRDefault="005E2753"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纽伦特</w:t>
            </w:r>
            <w:r w:rsidR="00BC51DB" w:rsidRPr="00BC51DB">
              <w:rPr>
                <w:rFonts w:ascii="Times New Roman" w:eastAsia="宋体" w:hAnsi="Times New Roman" w:cs="Times New Roman"/>
                <w:kern w:val="0"/>
                <w:szCs w:val="21"/>
              </w:rPr>
              <w:t>资本</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其他</w:t>
            </w:r>
          </w:p>
        </w:tc>
        <w:tc>
          <w:tcPr>
            <w:tcW w:w="887"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投资</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银行家</w:t>
            </w:r>
          </w:p>
        </w:tc>
        <w:tc>
          <w:tcPr>
            <w:tcW w:w="11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合伙人</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w:t>
            </w:r>
          </w:p>
        </w:tc>
        <w:tc>
          <w:tcPr>
            <w:tcW w:w="3646" w:type="dxa"/>
            <w:vMerge w:val="restart"/>
            <w:shd w:val="clear" w:color="auto" w:fill="auto"/>
            <w:vAlign w:val="center"/>
            <w:hideMark/>
          </w:tcPr>
          <w:p w:rsidR="00BC51DB" w:rsidRPr="00BC51DB" w:rsidRDefault="00DF7BD7" w:rsidP="00DF7BD7">
            <w:pPr>
              <w:widowControl/>
              <w:snapToGrid w:val="0"/>
              <w:spacing w:line="240" w:lineRule="exact"/>
              <w:rPr>
                <w:rFonts w:ascii="Times New Roman" w:eastAsia="宋体" w:hAnsi="Times New Roman" w:cs="Times New Roman"/>
                <w:kern w:val="0"/>
                <w:szCs w:val="21"/>
              </w:rPr>
            </w:pPr>
            <w:r>
              <w:rPr>
                <w:rFonts w:ascii="Times New Roman" w:eastAsia="宋体" w:hAnsi="Times New Roman" w:cs="Times New Roman" w:hint="eastAsia"/>
                <w:kern w:val="0"/>
                <w:szCs w:val="21"/>
              </w:rPr>
              <w:t>本人</w:t>
            </w:r>
            <w:r w:rsidR="00BC51DB" w:rsidRPr="00BC51DB">
              <w:rPr>
                <w:rFonts w:ascii="Times New Roman" w:eastAsia="宋体" w:hAnsi="Times New Roman" w:cs="Times New Roman"/>
                <w:kern w:val="0"/>
                <w:szCs w:val="21"/>
              </w:rPr>
              <w:t>和其挪威同事在上海共同创立了纽伦特资本</w:t>
            </w:r>
            <w:r w:rsidR="00BC51DB" w:rsidRPr="00BC51DB">
              <w:rPr>
                <w:rFonts w:ascii="Times New Roman" w:eastAsia="宋体" w:hAnsi="Times New Roman" w:cs="Times New Roman"/>
                <w:kern w:val="0"/>
                <w:szCs w:val="21"/>
              </w:rPr>
              <w:t>Norient Advisors</w:t>
            </w:r>
            <w:r w:rsidR="00BC51DB" w:rsidRPr="00BC51DB">
              <w:rPr>
                <w:rFonts w:ascii="Times New Roman" w:eastAsia="宋体" w:hAnsi="Times New Roman" w:cs="Times New Roman"/>
                <w:kern w:val="0"/>
                <w:szCs w:val="21"/>
              </w:rPr>
              <w:t>，专注于北欧和大中华区之间的跨境企业并购，</w:t>
            </w:r>
            <w:r w:rsidR="00BC51DB" w:rsidRPr="00BC51DB">
              <w:rPr>
                <w:rFonts w:ascii="Times New Roman" w:eastAsia="宋体" w:hAnsi="Times New Roman" w:cs="Times New Roman"/>
                <w:kern w:val="0"/>
                <w:szCs w:val="21"/>
              </w:rPr>
              <w:t xml:space="preserve"> </w:t>
            </w:r>
            <w:r w:rsidR="00BC51DB" w:rsidRPr="00BC51DB">
              <w:rPr>
                <w:rFonts w:ascii="Times New Roman" w:eastAsia="宋体" w:hAnsi="Times New Roman" w:cs="Times New Roman"/>
                <w:kern w:val="0"/>
                <w:szCs w:val="21"/>
              </w:rPr>
              <w:t>融资等金融服务，客户群多为为</w:t>
            </w:r>
            <w:r w:rsidR="00BC51DB" w:rsidRPr="00BC51DB">
              <w:rPr>
                <w:rFonts w:ascii="Times New Roman" w:eastAsia="宋体" w:hAnsi="Times New Roman" w:cs="Times New Roman"/>
                <w:kern w:val="0"/>
                <w:szCs w:val="21"/>
              </w:rPr>
              <w:t>IP</w:t>
            </w:r>
            <w:r w:rsidR="00BC51DB" w:rsidRPr="00BC51DB">
              <w:rPr>
                <w:rFonts w:ascii="Times New Roman" w:eastAsia="宋体" w:hAnsi="Times New Roman" w:cs="Times New Roman"/>
                <w:kern w:val="0"/>
                <w:szCs w:val="21"/>
              </w:rPr>
              <w:t>密集型高新企业。</w:t>
            </w:r>
            <w:r w:rsidR="00BC51DB" w:rsidRPr="00BC51DB">
              <w:rPr>
                <w:rFonts w:ascii="Times New Roman" w:eastAsia="宋体" w:hAnsi="Times New Roman" w:cs="Times New Roman"/>
                <w:kern w:val="0"/>
                <w:szCs w:val="21"/>
              </w:rPr>
              <w:br/>
            </w:r>
            <w:r w:rsidR="00BC51DB" w:rsidRPr="00BC51DB">
              <w:rPr>
                <w:rFonts w:ascii="Times New Roman" w:eastAsia="宋体" w:hAnsi="Times New Roman" w:cs="Times New Roman"/>
                <w:kern w:val="0"/>
                <w:szCs w:val="21"/>
              </w:rPr>
              <w:t>在这之前，</w:t>
            </w:r>
            <w:r w:rsidR="00BC51DB" w:rsidRPr="00BC51DB">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担任</w:t>
            </w:r>
            <w:r w:rsidR="00BC51DB" w:rsidRPr="00BC51DB">
              <w:rPr>
                <w:rFonts w:ascii="Times New Roman" w:eastAsia="宋体" w:hAnsi="Times New Roman" w:cs="Times New Roman"/>
                <w:kern w:val="0"/>
                <w:szCs w:val="21"/>
              </w:rPr>
              <w:t>美资国际精品投资银行道衡美评</w:t>
            </w:r>
            <w:r w:rsidR="00BC51DB" w:rsidRPr="00BC51DB">
              <w:rPr>
                <w:rFonts w:ascii="Times New Roman" w:eastAsia="宋体" w:hAnsi="Times New Roman" w:cs="Times New Roman"/>
                <w:kern w:val="0"/>
                <w:szCs w:val="21"/>
              </w:rPr>
              <w:t>(Duff &amp; Phelps)</w:t>
            </w:r>
            <w:r w:rsidR="00BC51DB" w:rsidRPr="00BC51DB">
              <w:rPr>
                <w:rFonts w:ascii="Times New Roman" w:eastAsia="宋体" w:hAnsi="Times New Roman" w:cs="Times New Roman"/>
                <w:kern w:val="0"/>
                <w:szCs w:val="21"/>
              </w:rPr>
              <w:t>上海办公室的董事</w:t>
            </w:r>
            <w:r w:rsidR="00BC51DB" w:rsidRPr="00BC51DB">
              <w:rPr>
                <w:rFonts w:ascii="Times New Roman" w:eastAsia="宋体" w:hAnsi="Times New Roman" w:cs="Times New Roman"/>
                <w:kern w:val="0"/>
                <w:szCs w:val="21"/>
              </w:rPr>
              <w:t xml:space="preserve">, </w:t>
            </w:r>
            <w:r w:rsidR="00BC51DB" w:rsidRPr="00BC51DB">
              <w:rPr>
                <w:rFonts w:ascii="Times New Roman" w:eastAsia="宋体" w:hAnsi="Times New Roman" w:cs="Times New Roman"/>
                <w:kern w:val="0"/>
                <w:szCs w:val="21"/>
              </w:rPr>
              <w:t>主要负责在跨境并购和中国企业海外</w:t>
            </w:r>
            <w:r>
              <w:rPr>
                <w:rFonts w:ascii="Times New Roman" w:eastAsia="宋体" w:hAnsi="Times New Roman" w:cs="Times New Roman"/>
                <w:kern w:val="0"/>
                <w:szCs w:val="21"/>
              </w:rPr>
              <w:t>IPO</w:t>
            </w:r>
            <w:r w:rsidR="00BC51DB" w:rsidRPr="00BC51DB">
              <w:rPr>
                <w:rFonts w:ascii="Times New Roman" w:eastAsia="宋体" w:hAnsi="Times New Roman" w:cs="Times New Roman"/>
                <w:kern w:val="0"/>
                <w:szCs w:val="21"/>
              </w:rPr>
              <w:t>项目中相关的无形资产，金融工具和企业价值评估服务。他领导的项目包括为中国著名芯片制造商</w:t>
            </w:r>
            <w:r>
              <w:rPr>
                <w:rFonts w:ascii="Times New Roman" w:eastAsia="宋体" w:hAnsi="Times New Roman" w:cs="Times New Roman" w:hint="eastAsia"/>
                <w:kern w:val="0"/>
                <w:szCs w:val="21"/>
              </w:rPr>
              <w:t>，</w:t>
            </w:r>
            <w:r w:rsidR="00BC51DB" w:rsidRPr="00BC51DB">
              <w:rPr>
                <w:rFonts w:ascii="Times New Roman" w:eastAsia="宋体" w:hAnsi="Times New Roman" w:cs="Times New Roman"/>
                <w:kern w:val="0"/>
                <w:szCs w:val="21"/>
              </w:rPr>
              <w:t>展讯通信进行在纳斯达克</w:t>
            </w:r>
            <w:r w:rsidR="00BC51DB" w:rsidRPr="00BC51DB">
              <w:rPr>
                <w:rFonts w:ascii="Times New Roman" w:eastAsia="宋体" w:hAnsi="Times New Roman" w:cs="Times New Roman"/>
                <w:kern w:val="0"/>
                <w:szCs w:val="21"/>
              </w:rPr>
              <w:t xml:space="preserve">IPO </w:t>
            </w:r>
            <w:r w:rsidR="00BC51DB" w:rsidRPr="00BC51DB">
              <w:rPr>
                <w:rFonts w:ascii="Times New Roman" w:eastAsia="宋体" w:hAnsi="Times New Roman" w:cs="Times New Roman"/>
                <w:kern w:val="0"/>
                <w:szCs w:val="21"/>
              </w:rPr>
              <w:t>上市前的员工股价期权估值，为美国惠普（</w:t>
            </w:r>
            <w:r w:rsidR="00BC51DB" w:rsidRPr="00BC51DB">
              <w:rPr>
                <w:rFonts w:ascii="Times New Roman" w:eastAsia="宋体" w:hAnsi="Times New Roman" w:cs="Times New Roman"/>
                <w:kern w:val="0"/>
                <w:szCs w:val="21"/>
              </w:rPr>
              <w:t>HP</w:t>
            </w:r>
            <w:r w:rsidR="00BC51DB" w:rsidRPr="00BC51DB">
              <w:rPr>
                <w:rFonts w:ascii="Times New Roman" w:eastAsia="宋体" w:hAnsi="Times New Roman" w:cs="Times New Roman"/>
                <w:kern w:val="0"/>
                <w:szCs w:val="21"/>
              </w:rPr>
              <w:t>）以美元</w:t>
            </w:r>
            <w:r>
              <w:rPr>
                <w:rFonts w:ascii="Times New Roman" w:eastAsia="宋体" w:hAnsi="Times New Roman" w:cs="Times New Roman"/>
                <w:kern w:val="0"/>
                <w:szCs w:val="21"/>
              </w:rPr>
              <w:t>23</w:t>
            </w:r>
            <w:r w:rsidR="00BC51DB" w:rsidRPr="00BC51DB">
              <w:rPr>
                <w:rFonts w:ascii="Times New Roman" w:eastAsia="宋体" w:hAnsi="Times New Roman" w:cs="Times New Roman"/>
                <w:kern w:val="0"/>
                <w:szCs w:val="21"/>
              </w:rPr>
              <w:t>亿出售和华为的合资企业华三通信项目中一系列关键的专利使</w:t>
            </w:r>
            <w:r w:rsidR="00BC51DB" w:rsidRPr="00BC51DB">
              <w:rPr>
                <w:rFonts w:ascii="Times New Roman" w:eastAsia="宋体" w:hAnsi="Times New Roman" w:cs="Times New Roman"/>
                <w:kern w:val="0"/>
                <w:szCs w:val="21"/>
              </w:rPr>
              <w:t xml:space="preserve"> </w:t>
            </w:r>
            <w:r w:rsidR="00BC51DB" w:rsidRPr="00BC51DB">
              <w:rPr>
                <w:rFonts w:ascii="Times New Roman" w:eastAsia="宋体" w:hAnsi="Times New Roman" w:cs="Times New Roman"/>
                <w:kern w:val="0"/>
                <w:szCs w:val="21"/>
              </w:rPr>
              <w:t>用合同进行评估</w:t>
            </w:r>
            <w:r>
              <w:rPr>
                <w:rFonts w:ascii="Times New Roman" w:eastAsia="宋体" w:hAnsi="Times New Roman" w:cs="Times New Roman" w:hint="eastAsia"/>
                <w:kern w:val="0"/>
                <w:szCs w:val="21"/>
              </w:rPr>
              <w:t>，</w:t>
            </w:r>
            <w:r w:rsidR="00BC51DB" w:rsidRPr="00BC51DB">
              <w:rPr>
                <w:rFonts w:ascii="Times New Roman" w:eastAsia="宋体" w:hAnsi="Times New Roman" w:cs="Times New Roman"/>
                <w:kern w:val="0"/>
                <w:szCs w:val="21"/>
              </w:rPr>
              <w:t>为法国赛博集团（</w:t>
            </w:r>
            <w:r w:rsidR="00BC51DB" w:rsidRPr="00BC51DB">
              <w:rPr>
                <w:rFonts w:ascii="Times New Roman" w:eastAsia="宋体" w:hAnsi="Times New Roman" w:cs="Times New Roman"/>
                <w:kern w:val="0"/>
                <w:szCs w:val="21"/>
              </w:rPr>
              <w:t>SEB</w:t>
            </w:r>
            <w:r w:rsidR="00BC51DB" w:rsidRPr="00BC51DB">
              <w:rPr>
                <w:rFonts w:ascii="Times New Roman" w:eastAsia="宋体" w:hAnsi="Times New Roman" w:cs="Times New Roman"/>
                <w:kern w:val="0"/>
                <w:szCs w:val="21"/>
              </w:rPr>
              <w:t>）人民币</w:t>
            </w:r>
            <w:r w:rsidR="00BC51DB" w:rsidRPr="00BC51DB">
              <w:rPr>
                <w:rFonts w:ascii="Times New Roman" w:eastAsia="宋体" w:hAnsi="Times New Roman" w:cs="Times New Roman"/>
                <w:kern w:val="0"/>
                <w:szCs w:val="21"/>
              </w:rPr>
              <w:t xml:space="preserve"> 23 </w:t>
            </w:r>
            <w:r w:rsidR="00BC51DB" w:rsidRPr="00BC51DB">
              <w:rPr>
                <w:rFonts w:ascii="Times New Roman" w:eastAsia="宋体" w:hAnsi="Times New Roman" w:cs="Times New Roman"/>
                <w:kern w:val="0"/>
                <w:szCs w:val="21"/>
              </w:rPr>
              <w:t>亿收购中国最大厨具企业苏泊尔提供企业评估服务</w:t>
            </w:r>
            <w:r w:rsidR="00BC51DB" w:rsidRPr="00BC51DB">
              <w:rPr>
                <w:rFonts w:ascii="Times New Roman" w:eastAsia="宋体" w:hAnsi="Times New Roman" w:cs="Times New Roman"/>
                <w:kern w:val="0"/>
                <w:szCs w:val="21"/>
              </w:rPr>
              <w:t xml:space="preserve"> </w:t>
            </w:r>
            <w:r w:rsidR="00BC51DB" w:rsidRPr="00BC51DB">
              <w:rPr>
                <w:rFonts w:ascii="Times New Roman" w:eastAsia="宋体" w:hAnsi="Times New Roman" w:cs="Times New Roman"/>
                <w:kern w:val="0"/>
                <w:szCs w:val="21"/>
              </w:rPr>
              <w:t>，为安海斯</w:t>
            </w:r>
            <w:r w:rsidR="00BC51DB" w:rsidRPr="00BC51DB">
              <w:rPr>
                <w:rFonts w:ascii="Times New Roman" w:eastAsia="宋体" w:hAnsi="Times New Roman" w:cs="Times New Roman"/>
                <w:kern w:val="0"/>
                <w:szCs w:val="21"/>
              </w:rPr>
              <w:t>-</w:t>
            </w:r>
            <w:r w:rsidR="00BC51DB" w:rsidRPr="00BC51DB">
              <w:rPr>
                <w:rFonts w:ascii="Times New Roman" w:eastAsia="宋体" w:hAnsi="Times New Roman" w:cs="Times New Roman"/>
                <w:kern w:val="0"/>
                <w:szCs w:val="21"/>
              </w:rPr>
              <w:t>布希（</w:t>
            </w:r>
            <w:r w:rsidR="00BC51DB" w:rsidRPr="00BC51DB">
              <w:rPr>
                <w:rFonts w:ascii="Times New Roman" w:eastAsia="宋体" w:hAnsi="Times New Roman" w:cs="Times New Roman"/>
                <w:kern w:val="0"/>
                <w:szCs w:val="21"/>
              </w:rPr>
              <w:t>AB</w:t>
            </w:r>
            <w:r w:rsidR="00BC51DB" w:rsidRPr="00BC51DB">
              <w:rPr>
                <w:rFonts w:ascii="Times New Roman" w:eastAsia="宋体" w:hAnsi="Times New Roman" w:cs="Times New Roman"/>
                <w:kern w:val="0"/>
                <w:szCs w:val="21"/>
              </w:rPr>
              <w:t>）与南非米勒酿酒公司（</w:t>
            </w:r>
            <w:r w:rsidR="00BC51DB" w:rsidRPr="00BC51DB">
              <w:rPr>
                <w:rFonts w:ascii="Times New Roman" w:eastAsia="宋体" w:hAnsi="Times New Roman" w:cs="Times New Roman"/>
                <w:kern w:val="0"/>
                <w:szCs w:val="21"/>
              </w:rPr>
              <w:t>SABMiller</w:t>
            </w:r>
            <w:r w:rsidR="00BC51DB" w:rsidRPr="00BC51DB">
              <w:rPr>
                <w:rFonts w:ascii="Times New Roman" w:eastAsia="宋体" w:hAnsi="Times New Roman" w:cs="Times New Roman"/>
                <w:kern w:val="0"/>
                <w:szCs w:val="21"/>
              </w:rPr>
              <w:t>）的收购竞争中获得哈尔滨啤酒集团最终控股权项目进行企业价值评估等工作。他同时积极参与公司在华战略规划、客户营销和服务，并代表公司联络有关政府部门，和参加例如中国评估协会等专业机构和行业组织。</w:t>
            </w:r>
            <w:r w:rsidR="00BC51DB" w:rsidRPr="00BC51DB">
              <w:rPr>
                <w:rFonts w:ascii="Times New Roman" w:eastAsia="宋体" w:hAnsi="Times New Roman" w:cs="Times New Roman"/>
                <w:kern w:val="0"/>
                <w:szCs w:val="21"/>
              </w:rPr>
              <w:t xml:space="preserve"> </w:t>
            </w:r>
            <w:r w:rsidR="00BC51DB" w:rsidRPr="00BC51DB">
              <w:rPr>
                <w:rFonts w:ascii="Times New Roman" w:eastAsia="宋体" w:hAnsi="Times New Roman" w:cs="Times New Roman"/>
                <w:kern w:val="0"/>
                <w:szCs w:val="21"/>
              </w:rPr>
              <w:br/>
            </w:r>
            <w:r w:rsidR="00BC51DB" w:rsidRPr="00BC51DB">
              <w:rPr>
                <w:rFonts w:ascii="Times New Roman" w:eastAsia="宋体" w:hAnsi="Times New Roman" w:cs="Times New Roman"/>
                <w:kern w:val="0"/>
                <w:szCs w:val="21"/>
              </w:rPr>
              <w:t>在到上海工作之前，林先生分别在摩根士丹利和汇丰银行纽约和香港办公室债券融资部工作，参与了包括香港史上第一次发行主权债券的香港特区政府</w:t>
            </w:r>
            <w:r w:rsidR="00BC51DB" w:rsidRPr="00BC51DB">
              <w:rPr>
                <w:rFonts w:ascii="Times New Roman" w:eastAsia="宋体" w:hAnsi="Times New Roman" w:cs="Times New Roman"/>
                <w:kern w:val="0"/>
                <w:szCs w:val="21"/>
              </w:rPr>
              <w:t xml:space="preserve"> 200 </w:t>
            </w:r>
            <w:r w:rsidR="00BC51DB" w:rsidRPr="00BC51DB">
              <w:rPr>
                <w:rFonts w:ascii="Times New Roman" w:eastAsia="宋体" w:hAnsi="Times New Roman" w:cs="Times New Roman"/>
                <w:kern w:val="0"/>
                <w:szCs w:val="21"/>
              </w:rPr>
              <w:t>亿港元债券，新加坡电信</w:t>
            </w:r>
            <w:r w:rsidR="00BC51DB" w:rsidRPr="00BC51DB">
              <w:rPr>
                <w:rFonts w:ascii="Times New Roman" w:eastAsia="宋体" w:hAnsi="Times New Roman" w:cs="Times New Roman"/>
                <w:kern w:val="0"/>
                <w:szCs w:val="21"/>
              </w:rPr>
              <w:t>(SingTel)</w:t>
            </w:r>
            <w:r w:rsidR="00BC51DB" w:rsidRPr="00BC51DB">
              <w:rPr>
                <w:rFonts w:ascii="Times New Roman" w:eastAsia="宋体" w:hAnsi="Times New Roman" w:cs="Times New Roman"/>
                <w:kern w:val="0"/>
                <w:szCs w:val="21"/>
              </w:rPr>
              <w:t>用以并购澳大利亚大东澳都斯公司（</w:t>
            </w:r>
            <w:r w:rsidR="00BC51DB" w:rsidRPr="00BC51DB">
              <w:rPr>
                <w:rFonts w:ascii="Times New Roman" w:eastAsia="宋体" w:hAnsi="Times New Roman" w:cs="Times New Roman"/>
                <w:kern w:val="0"/>
                <w:szCs w:val="21"/>
              </w:rPr>
              <w:t>C&amp;W Optus</w:t>
            </w:r>
            <w:r w:rsidR="00BC51DB" w:rsidRPr="00BC51DB">
              <w:rPr>
                <w:rFonts w:ascii="Times New Roman" w:eastAsia="宋体" w:hAnsi="Times New Roman" w:cs="Times New Roman"/>
                <w:kern w:val="0"/>
                <w:szCs w:val="21"/>
              </w:rPr>
              <w:t>）发行的</w:t>
            </w:r>
            <w:r w:rsidR="00BC51DB" w:rsidRPr="00BC51DB">
              <w:rPr>
                <w:rFonts w:ascii="Times New Roman" w:eastAsia="宋体" w:hAnsi="Times New Roman" w:cs="Times New Roman"/>
                <w:kern w:val="0"/>
                <w:szCs w:val="21"/>
              </w:rPr>
              <w:t xml:space="preserve"> 83 </w:t>
            </w:r>
            <w:r w:rsidR="00BC51DB" w:rsidRPr="00BC51DB">
              <w:rPr>
                <w:rFonts w:ascii="Times New Roman" w:eastAsia="宋体" w:hAnsi="Times New Roman" w:cs="Times New Roman"/>
                <w:kern w:val="0"/>
                <w:szCs w:val="21"/>
              </w:rPr>
              <w:t>亿美元债券，和为中国进出口银行，中国联通和中国石化等大型国企在国际资本市场发行外币债券。</w:t>
            </w:r>
            <w:r w:rsidR="00BC51DB" w:rsidRPr="00BC51DB">
              <w:rPr>
                <w:rFonts w:ascii="Times New Roman" w:eastAsia="宋体" w:hAnsi="Times New Roman" w:cs="Times New Roman"/>
                <w:kern w:val="0"/>
                <w:szCs w:val="21"/>
              </w:rPr>
              <w:t xml:space="preserve"> </w:t>
            </w:r>
            <w:r w:rsidR="00BC51DB" w:rsidRPr="00BC51DB">
              <w:rPr>
                <w:rFonts w:ascii="Times New Roman" w:eastAsia="宋体" w:hAnsi="Times New Roman" w:cs="Times New Roman"/>
                <w:kern w:val="0"/>
                <w:szCs w:val="21"/>
              </w:rPr>
              <w:br/>
            </w:r>
            <w:r w:rsidR="00BC51DB" w:rsidRPr="00BC51DB">
              <w:rPr>
                <w:rFonts w:ascii="Times New Roman" w:eastAsia="宋体" w:hAnsi="Times New Roman" w:cs="Times New Roman"/>
                <w:kern w:val="0"/>
                <w:szCs w:val="21"/>
              </w:rPr>
              <w:t>在分别与美国和英国获得金融本科和</w:t>
            </w:r>
            <w:r w:rsidR="00BC51DB" w:rsidRPr="00BC51DB">
              <w:rPr>
                <w:rFonts w:ascii="Times New Roman" w:eastAsia="宋体" w:hAnsi="Times New Roman" w:cs="Times New Roman"/>
                <w:kern w:val="0"/>
                <w:szCs w:val="21"/>
              </w:rPr>
              <w:t>MBA</w:t>
            </w:r>
            <w:r w:rsidR="00BC51DB" w:rsidRPr="00BC51DB">
              <w:rPr>
                <w:rFonts w:ascii="Times New Roman" w:eastAsia="宋体" w:hAnsi="Times New Roman" w:cs="Times New Roman"/>
                <w:kern w:val="0"/>
                <w:szCs w:val="21"/>
              </w:rPr>
              <w:t>学位并在纽约</w:t>
            </w:r>
            <w:r w:rsidR="00DF3864">
              <w:rPr>
                <w:rFonts w:ascii="Times New Roman" w:eastAsia="宋体" w:hAnsi="Times New Roman" w:cs="Times New Roman" w:hint="eastAsia"/>
                <w:kern w:val="0"/>
                <w:szCs w:val="21"/>
              </w:rPr>
              <w:t>、</w:t>
            </w:r>
            <w:r w:rsidR="00BC51DB" w:rsidRPr="00BC51DB">
              <w:rPr>
                <w:rFonts w:ascii="Times New Roman" w:eastAsia="宋体" w:hAnsi="Times New Roman" w:cs="Times New Roman"/>
                <w:kern w:val="0"/>
                <w:szCs w:val="21"/>
              </w:rPr>
              <w:t>香港和伦敦从事投资银行工作后被外派到上海拓展公司在国内的业务的同时</w:t>
            </w:r>
            <w:r w:rsidR="00DF3864">
              <w:rPr>
                <w:rFonts w:ascii="Times New Roman" w:eastAsia="宋体" w:hAnsi="Times New Roman" w:cs="Times New Roman"/>
                <w:kern w:val="0"/>
                <w:szCs w:val="21"/>
              </w:rPr>
              <w:t>，积极参与上海国外商会的活动，为促进中国与国外的商业交流努力。</w:t>
            </w:r>
            <w:r w:rsidR="00BC51DB" w:rsidRPr="00BC51DB">
              <w:rPr>
                <w:rFonts w:ascii="Times New Roman" w:eastAsia="宋体" w:hAnsi="Times New Roman" w:cs="Times New Roman"/>
                <w:kern w:val="0"/>
                <w:szCs w:val="21"/>
              </w:rPr>
              <w:t>有</w:t>
            </w:r>
            <w:r w:rsidR="00BC51DB" w:rsidRPr="00BC51DB">
              <w:rPr>
                <w:rFonts w:ascii="Times New Roman" w:eastAsia="宋体" w:hAnsi="Times New Roman" w:cs="Times New Roman"/>
                <w:kern w:val="0"/>
                <w:szCs w:val="21"/>
              </w:rPr>
              <w:t>5</w:t>
            </w:r>
            <w:r w:rsidR="00BC51DB" w:rsidRPr="00BC51DB">
              <w:rPr>
                <w:rFonts w:ascii="Times New Roman" w:eastAsia="宋体" w:hAnsi="Times New Roman" w:cs="Times New Roman"/>
                <w:kern w:val="0"/>
                <w:szCs w:val="21"/>
              </w:rPr>
              <w:t>年时间担任上海美商会中美跨境投资理事会理事，推动各大外企跟一众国内企业和有关政府部委进行各种交流与合作。我也不忘继续在国内深造，努力的了解国情，并成为华东政法大学为数不多的香港博士研究生，在三年多的努力下顺利完成博士学位，希望更好预备自己能在日后回到香港为</w:t>
            </w:r>
            <w:r w:rsidR="00BC51DB" w:rsidRPr="00BC51DB">
              <w:rPr>
                <w:rFonts w:ascii="Times New Roman" w:eastAsia="宋体" w:hAnsi="Times New Roman" w:cs="Times New Roman"/>
                <w:kern w:val="0"/>
                <w:szCs w:val="21"/>
              </w:rPr>
              <w:t>“</w:t>
            </w:r>
            <w:r w:rsidR="00BC51DB" w:rsidRPr="00BC51DB">
              <w:rPr>
                <w:rFonts w:ascii="Times New Roman" w:eastAsia="宋体" w:hAnsi="Times New Roman" w:cs="Times New Roman"/>
                <w:kern w:val="0"/>
                <w:szCs w:val="21"/>
              </w:rPr>
              <w:t>粤港澳大湾区</w:t>
            </w:r>
            <w:r w:rsidR="00BC51DB" w:rsidRPr="00BC51DB">
              <w:rPr>
                <w:rFonts w:ascii="Times New Roman" w:eastAsia="宋体" w:hAnsi="Times New Roman" w:cs="Times New Roman"/>
                <w:kern w:val="0"/>
                <w:szCs w:val="21"/>
              </w:rPr>
              <w:t>”</w:t>
            </w:r>
            <w:r w:rsidR="00BC51DB" w:rsidRPr="00BC51DB">
              <w:rPr>
                <w:rFonts w:ascii="Times New Roman" w:eastAsia="宋体" w:hAnsi="Times New Roman" w:cs="Times New Roman"/>
                <w:kern w:val="0"/>
                <w:szCs w:val="21"/>
              </w:rPr>
              <w:t>的建设尽一份绵力。在校期间积极参与学校的国际学生活动，并在</w:t>
            </w:r>
            <w:r w:rsidR="00BC51DB" w:rsidRPr="00BC51DB">
              <w:rPr>
                <w:rFonts w:ascii="Times New Roman" w:eastAsia="宋体" w:hAnsi="Times New Roman" w:cs="Times New Roman"/>
                <w:kern w:val="0"/>
                <w:szCs w:val="21"/>
              </w:rPr>
              <w:t>2020</w:t>
            </w:r>
            <w:r w:rsidR="00BC51DB" w:rsidRPr="00BC51DB">
              <w:rPr>
                <w:rFonts w:ascii="Times New Roman" w:eastAsia="宋体" w:hAnsi="Times New Roman" w:cs="Times New Roman"/>
                <w:kern w:val="0"/>
                <w:szCs w:val="21"/>
              </w:rPr>
              <w:t>年获得优秀港澳台学生奖励。我也作为美国威斯康星大学上海校友会创会会长，积极参加欧美同学会各种活动，促进中国与美国高校校友的沟通和交流。</w:t>
            </w:r>
          </w:p>
        </w:tc>
        <w:tc>
          <w:tcPr>
            <w:tcW w:w="1936" w:type="dxa"/>
            <w:vMerge w:val="restart"/>
            <w:shd w:val="clear" w:color="auto" w:fill="auto"/>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《专利证券化底层资产法律研究》</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华东政法大学法学博士论文</w:t>
            </w:r>
          </w:p>
        </w:tc>
        <w:tc>
          <w:tcPr>
            <w:tcW w:w="1282"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唯一作者</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2021.12</w:t>
            </w:r>
          </w:p>
        </w:tc>
        <w:tc>
          <w:tcPr>
            <w:tcW w:w="149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8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8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8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r>
      <w:tr w:rsidR="00BC51DB" w:rsidRPr="00BC51DB" w:rsidTr="0084180C">
        <w:trPr>
          <w:trHeight w:val="30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8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790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475"/>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lastRenderedPageBreak/>
              <w:t>3</w:t>
            </w:r>
          </w:p>
        </w:tc>
        <w:tc>
          <w:tcPr>
            <w:tcW w:w="1553" w:type="dxa"/>
            <w:vMerge w:val="restart"/>
            <w:shd w:val="clear" w:color="auto" w:fill="auto"/>
            <w:vAlign w:val="center"/>
            <w:hideMark/>
          </w:tcPr>
          <w:p w:rsidR="0084180C"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工商管理学院</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教育</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中心</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段晓燕</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197709</w:t>
            </w:r>
          </w:p>
        </w:tc>
        <w:tc>
          <w:tcPr>
            <w:tcW w:w="1024" w:type="dxa"/>
            <w:vMerge w:val="restart"/>
            <w:shd w:val="clear" w:color="auto" w:fill="auto"/>
            <w:vAlign w:val="center"/>
            <w:hideMark/>
          </w:tcPr>
          <w:p w:rsidR="0084180C"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管理</w:t>
            </w:r>
          </w:p>
        </w:tc>
        <w:tc>
          <w:tcPr>
            <w:tcW w:w="1142"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硕士</w:t>
            </w:r>
          </w:p>
        </w:tc>
        <w:tc>
          <w:tcPr>
            <w:tcW w:w="102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新闻学</w:t>
            </w:r>
          </w:p>
        </w:tc>
        <w:tc>
          <w:tcPr>
            <w:tcW w:w="14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北京明德博雅投资管理有限公司</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民营企业</w:t>
            </w:r>
          </w:p>
        </w:tc>
        <w:tc>
          <w:tcPr>
            <w:tcW w:w="887" w:type="dxa"/>
            <w:vMerge w:val="restart"/>
            <w:shd w:val="clear" w:color="auto" w:fill="auto"/>
            <w:vAlign w:val="center"/>
            <w:hideMark/>
          </w:tcPr>
          <w:p w:rsidR="00BC51DB" w:rsidRPr="00BC51DB" w:rsidRDefault="00085E8E" w:rsidP="00BC51DB">
            <w:pPr>
              <w:widowControl/>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投资</w:t>
            </w:r>
          </w:p>
        </w:tc>
        <w:tc>
          <w:tcPr>
            <w:tcW w:w="11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合伙人</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w:t>
            </w:r>
          </w:p>
        </w:tc>
        <w:tc>
          <w:tcPr>
            <w:tcW w:w="3646" w:type="dxa"/>
            <w:vMerge w:val="restart"/>
            <w:shd w:val="clear" w:color="auto" w:fill="auto"/>
            <w:vAlign w:val="center"/>
            <w:hideMark/>
          </w:tcPr>
          <w:p w:rsidR="001E6420" w:rsidRDefault="00347473" w:rsidP="001E6420">
            <w:pPr>
              <w:widowControl/>
              <w:snapToGrid w:val="0"/>
              <w:rPr>
                <w:rFonts w:ascii="Times New Roman" w:eastAsia="宋体" w:hAnsi="Times New Roman" w:cs="Times New Roman"/>
                <w:kern w:val="0"/>
                <w:szCs w:val="21"/>
              </w:rPr>
            </w:pPr>
            <w:r>
              <w:rPr>
                <w:rFonts w:ascii="Times New Roman" w:eastAsia="宋体" w:hAnsi="Times New Roman" w:cs="Times New Roman" w:hint="eastAsia"/>
                <w:kern w:val="0"/>
                <w:szCs w:val="21"/>
              </w:rPr>
              <w:t>本人</w:t>
            </w:r>
            <w:r w:rsidR="00BC51DB" w:rsidRPr="00BC51DB">
              <w:rPr>
                <w:rFonts w:ascii="Times New Roman" w:eastAsia="宋体" w:hAnsi="Times New Roman" w:cs="Times New Roman"/>
                <w:kern w:val="0"/>
                <w:szCs w:val="21"/>
              </w:rPr>
              <w:t>于</w:t>
            </w:r>
            <w:r w:rsidR="00BC51DB" w:rsidRPr="00BC51DB">
              <w:rPr>
                <w:rFonts w:ascii="Times New Roman" w:eastAsia="宋体" w:hAnsi="Times New Roman" w:cs="Times New Roman"/>
                <w:kern w:val="0"/>
                <w:szCs w:val="21"/>
              </w:rPr>
              <w:t>2014</w:t>
            </w:r>
            <w:r w:rsidR="00BC51DB" w:rsidRPr="00BC51DB">
              <w:rPr>
                <w:rFonts w:ascii="Times New Roman" w:eastAsia="宋体" w:hAnsi="Times New Roman" w:cs="Times New Roman"/>
                <w:kern w:val="0"/>
                <w:szCs w:val="21"/>
              </w:rPr>
              <w:t>年创立了北京明德搏雅投资管理公司（简称</w:t>
            </w:r>
            <w:r w:rsidR="00BC51DB" w:rsidRPr="00BC51DB">
              <w:rPr>
                <w:rFonts w:ascii="Times New Roman" w:eastAsia="宋体" w:hAnsi="Times New Roman" w:cs="Times New Roman"/>
                <w:kern w:val="0"/>
                <w:szCs w:val="21"/>
              </w:rPr>
              <w:t>“</w:t>
            </w:r>
            <w:r w:rsidR="00BC51DB" w:rsidRPr="00BC51DB">
              <w:rPr>
                <w:rFonts w:ascii="Times New Roman" w:eastAsia="宋体" w:hAnsi="Times New Roman" w:cs="Times New Roman"/>
                <w:kern w:val="0"/>
                <w:szCs w:val="21"/>
              </w:rPr>
              <w:t>明德资本</w:t>
            </w:r>
            <w:r w:rsidR="00BC51DB" w:rsidRPr="00BC51DB">
              <w:rPr>
                <w:rFonts w:ascii="Times New Roman" w:eastAsia="宋体" w:hAnsi="Times New Roman" w:cs="Times New Roman"/>
                <w:kern w:val="0"/>
                <w:szCs w:val="21"/>
              </w:rPr>
              <w:t xml:space="preserve">"). </w:t>
            </w:r>
            <w:r w:rsidR="00BC51DB" w:rsidRPr="00BC51DB">
              <w:rPr>
                <w:rFonts w:ascii="Times New Roman" w:eastAsia="宋体" w:hAnsi="Times New Roman" w:cs="Times New Roman"/>
                <w:kern w:val="0"/>
                <w:szCs w:val="21"/>
              </w:rPr>
              <w:t>明德资本总部位千北京国贸</w:t>
            </w:r>
            <w:r w:rsidR="00BC51DB" w:rsidRPr="00BC51DB">
              <w:rPr>
                <w:rFonts w:ascii="Times New Roman" w:eastAsia="宋体" w:hAnsi="Times New Roman" w:cs="Times New Roman"/>
                <w:kern w:val="0"/>
                <w:szCs w:val="21"/>
              </w:rPr>
              <w:t xml:space="preserve">CBD, 2014 </w:t>
            </w:r>
            <w:r w:rsidR="001E6420">
              <w:rPr>
                <w:rFonts w:ascii="Times New Roman" w:eastAsia="宋体" w:hAnsi="Times New Roman" w:cs="Times New Roman"/>
                <w:kern w:val="0"/>
                <w:szCs w:val="21"/>
              </w:rPr>
              <w:t>年由北京北大工商管理促进会（民政部注册，北大</w:t>
            </w:r>
            <w:r w:rsidR="00BC51DB" w:rsidRPr="00BC51DB">
              <w:rPr>
                <w:rFonts w:ascii="Times New Roman" w:eastAsia="宋体" w:hAnsi="Times New Roman" w:cs="Times New Roman"/>
                <w:kern w:val="0"/>
                <w:szCs w:val="21"/>
              </w:rPr>
              <w:t>EMBA</w:t>
            </w:r>
            <w:r w:rsidR="00BC51DB" w:rsidRPr="00BC51DB">
              <w:rPr>
                <w:rFonts w:ascii="Times New Roman" w:eastAsia="宋体" w:hAnsi="Times New Roman" w:cs="Times New Roman"/>
                <w:kern w:val="0"/>
                <w:szCs w:val="21"/>
              </w:rPr>
              <w:t>同学会）</w:t>
            </w:r>
            <w:r w:rsidR="00BC51DB" w:rsidRPr="00BC51DB">
              <w:rPr>
                <w:rFonts w:ascii="Times New Roman" w:eastAsia="宋体" w:hAnsi="Times New Roman" w:cs="Times New Roman"/>
                <w:kern w:val="0"/>
                <w:szCs w:val="21"/>
              </w:rPr>
              <w:t xml:space="preserve"> </w:t>
            </w:r>
            <w:r w:rsidR="00BC51DB" w:rsidRPr="00BC51DB">
              <w:rPr>
                <w:rFonts w:ascii="Times New Roman" w:eastAsia="宋体" w:hAnsi="Times New Roman" w:cs="Times New Roman"/>
                <w:kern w:val="0"/>
                <w:szCs w:val="21"/>
              </w:rPr>
              <w:t>发起设立，</w:t>
            </w:r>
            <w:r w:rsidR="00BC51DB" w:rsidRPr="00BC51DB">
              <w:rPr>
                <w:rFonts w:ascii="Times New Roman" w:eastAsia="宋体" w:hAnsi="Times New Roman" w:cs="Times New Roman"/>
                <w:kern w:val="0"/>
                <w:szCs w:val="21"/>
              </w:rPr>
              <w:t xml:space="preserve"> </w:t>
            </w:r>
            <w:r w:rsidR="001E6420">
              <w:rPr>
                <w:rFonts w:ascii="Times New Roman" w:eastAsia="宋体" w:hAnsi="Times New Roman" w:cs="Times New Roman"/>
                <w:kern w:val="0"/>
                <w:szCs w:val="21"/>
              </w:rPr>
              <w:t>主要服务于北大</w:t>
            </w:r>
            <w:r w:rsidR="00BC51DB" w:rsidRPr="00BC51DB">
              <w:rPr>
                <w:rFonts w:ascii="Times New Roman" w:eastAsia="宋体" w:hAnsi="Times New Roman" w:cs="Times New Roman"/>
                <w:kern w:val="0"/>
                <w:szCs w:val="21"/>
              </w:rPr>
              <w:t>EMBA</w:t>
            </w:r>
            <w:r w:rsidR="00BC51DB" w:rsidRPr="00BC51DB">
              <w:rPr>
                <w:rFonts w:ascii="Times New Roman" w:eastAsia="宋体" w:hAnsi="Times New Roman" w:cs="Times New Roman"/>
                <w:kern w:val="0"/>
                <w:szCs w:val="21"/>
              </w:rPr>
              <w:t>同学。</w:t>
            </w:r>
            <w:r w:rsidR="00BC51DB" w:rsidRPr="00BC51DB">
              <w:rPr>
                <w:rFonts w:ascii="Times New Roman" w:eastAsia="宋体" w:hAnsi="Times New Roman" w:cs="Times New Roman"/>
                <w:kern w:val="0"/>
                <w:szCs w:val="21"/>
              </w:rPr>
              <w:t>2017</w:t>
            </w:r>
            <w:r w:rsidR="00BC51DB" w:rsidRPr="00BC51DB">
              <w:rPr>
                <w:rFonts w:ascii="Times New Roman" w:eastAsia="宋体" w:hAnsi="Times New Roman" w:cs="Times New Roman"/>
                <w:kern w:val="0"/>
                <w:szCs w:val="21"/>
              </w:rPr>
              <w:t>年完全市场化运作，是一家以产业投资、并购投资为核心业务的投融资综合金融服务机构．累计管理基金规模投近</w:t>
            </w:r>
            <w:r w:rsidR="00BC51DB" w:rsidRPr="00BC51DB">
              <w:rPr>
                <w:rFonts w:ascii="Times New Roman" w:eastAsia="宋体" w:hAnsi="Times New Roman" w:cs="Times New Roman"/>
                <w:kern w:val="0"/>
                <w:szCs w:val="21"/>
              </w:rPr>
              <w:t>20</w:t>
            </w:r>
            <w:r w:rsidR="00BC51DB" w:rsidRPr="00BC51DB">
              <w:rPr>
                <w:rFonts w:ascii="Times New Roman" w:eastAsia="宋体" w:hAnsi="Times New Roman" w:cs="Times New Roman"/>
                <w:kern w:val="0"/>
                <w:szCs w:val="21"/>
              </w:rPr>
              <w:t>亿人民币，重点投资的产业领域为先进制造、新能源汽车产业链、碳中和产业链</w:t>
            </w:r>
            <w:r w:rsidR="001E6420">
              <w:rPr>
                <w:rFonts w:ascii="Times New Roman" w:eastAsia="宋体" w:hAnsi="Times New Roman" w:cs="Times New Roman" w:hint="eastAsia"/>
                <w:kern w:val="0"/>
                <w:szCs w:val="21"/>
              </w:rPr>
              <w:t>。</w:t>
            </w:r>
            <w:r w:rsidR="00BC51DB" w:rsidRPr="00BC51DB">
              <w:rPr>
                <w:rFonts w:ascii="Times New Roman" w:eastAsia="宋体" w:hAnsi="Times New Roman" w:cs="Times New Roman"/>
                <w:kern w:val="0"/>
                <w:szCs w:val="21"/>
              </w:rPr>
              <w:br/>
            </w:r>
            <w:r w:rsidR="00BC51DB" w:rsidRPr="00BC51DB">
              <w:rPr>
                <w:rFonts w:ascii="Times New Roman" w:eastAsia="宋体" w:hAnsi="Times New Roman" w:cs="Times New Roman"/>
                <w:kern w:val="0"/>
                <w:szCs w:val="21"/>
              </w:rPr>
              <w:t>明德资本核心团队平均具有</w:t>
            </w:r>
            <w:r w:rsidR="00BC51DB" w:rsidRPr="00BC51DB">
              <w:rPr>
                <w:rFonts w:ascii="Times New Roman" w:eastAsia="宋体" w:hAnsi="Times New Roman" w:cs="Times New Roman"/>
                <w:kern w:val="0"/>
                <w:szCs w:val="21"/>
              </w:rPr>
              <w:t xml:space="preserve"> 15 </w:t>
            </w:r>
            <w:r w:rsidR="00BC51DB" w:rsidRPr="00BC51DB">
              <w:rPr>
                <w:rFonts w:ascii="Times New Roman" w:eastAsia="宋体" w:hAnsi="Times New Roman" w:cs="Times New Roman"/>
                <w:kern w:val="0"/>
                <w:szCs w:val="21"/>
              </w:rPr>
              <w:t>年以上的投资、并购和产业实战经验，在各个产业均有多个投资和井购方面的成功案例。主要投资人主要包括政府引导基金、国企、上市公司及民企集团实控人</w:t>
            </w:r>
            <w:r w:rsidR="001E6420">
              <w:rPr>
                <w:rFonts w:ascii="Times New Roman" w:eastAsia="宋体" w:hAnsi="Times New Roman" w:cs="Times New Roman" w:hint="eastAsia"/>
                <w:kern w:val="0"/>
                <w:szCs w:val="21"/>
              </w:rPr>
              <w:t>。</w:t>
            </w:r>
            <w:r w:rsidR="00BC51DB" w:rsidRPr="00BC51DB">
              <w:rPr>
                <w:rFonts w:ascii="Times New Roman" w:eastAsia="宋体" w:hAnsi="Times New Roman" w:cs="Times New Roman"/>
                <w:kern w:val="0"/>
                <w:szCs w:val="21"/>
              </w:rPr>
              <w:t xml:space="preserve"> </w:t>
            </w:r>
          </w:p>
          <w:p w:rsidR="001E6420" w:rsidRDefault="001E6420" w:rsidP="001E6420">
            <w:pPr>
              <w:widowControl/>
              <w:snapToGrid w:val="0"/>
              <w:rPr>
                <w:rFonts w:ascii="Times New Roman" w:eastAsia="宋体" w:hAnsi="Times New Roman" w:cs="Times New Roman"/>
                <w:kern w:val="0"/>
                <w:szCs w:val="21"/>
              </w:rPr>
            </w:pPr>
          </w:p>
          <w:p w:rsidR="001E6420" w:rsidRDefault="00BC51DB" w:rsidP="001E6420">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传媒收购业务：</w:t>
            </w: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曾代表</w:t>
            </w:r>
            <w:r w:rsidRPr="00BC51DB">
              <w:rPr>
                <w:rFonts w:ascii="Times New Roman" w:eastAsia="宋体" w:hAnsi="Times New Roman" w:cs="Times New Roman"/>
                <w:kern w:val="0"/>
                <w:szCs w:val="21"/>
              </w:rPr>
              <w:t>21</w:t>
            </w:r>
            <w:r w:rsidRPr="00BC51DB">
              <w:rPr>
                <w:rFonts w:ascii="Times New Roman" w:eastAsia="宋体" w:hAnsi="Times New Roman" w:cs="Times New Roman"/>
                <w:kern w:val="0"/>
                <w:szCs w:val="21"/>
              </w:rPr>
              <w:t>世纪传媒集团组织参与美国《</w:t>
            </w:r>
            <w:r w:rsidRPr="00BC51DB">
              <w:rPr>
                <w:rFonts w:ascii="Times New Roman" w:eastAsia="宋体" w:hAnsi="Times New Roman" w:cs="Times New Roman"/>
                <w:kern w:val="0"/>
                <w:szCs w:val="21"/>
              </w:rPr>
              <w:t xml:space="preserve"> Fast Compa ny</w:t>
            </w:r>
            <w:r w:rsidRPr="00BC51DB">
              <w:rPr>
                <w:rFonts w:ascii="Times New Roman" w:eastAsia="宋体" w:hAnsi="Times New Roman" w:cs="Times New Roman"/>
                <w:kern w:val="0"/>
                <w:szCs w:val="21"/>
              </w:rPr>
              <w:t>》收购、《</w:t>
            </w:r>
            <w:r w:rsidRPr="00BC51DB">
              <w:rPr>
                <w:rFonts w:ascii="Times New Roman" w:eastAsia="宋体" w:hAnsi="Times New Roman" w:cs="Times New Roman"/>
                <w:kern w:val="0"/>
                <w:szCs w:val="21"/>
              </w:rPr>
              <w:t>Forbes</w:t>
            </w:r>
            <w:r w:rsidRPr="00BC51DB">
              <w:rPr>
                <w:rFonts w:ascii="Times New Roman" w:eastAsia="宋体" w:hAnsi="Times New Roman" w:cs="Times New Roman"/>
                <w:kern w:val="0"/>
                <w:szCs w:val="21"/>
              </w:rPr>
              <w:t>》全球公司收购等传媒互联网投资收购业务</w:t>
            </w:r>
            <w:r w:rsidR="001E6420">
              <w:rPr>
                <w:rFonts w:ascii="Times New Roman" w:eastAsia="宋体" w:hAnsi="Times New Roman" w:cs="Times New Roman" w:hint="eastAsia"/>
                <w:kern w:val="0"/>
                <w:szCs w:val="21"/>
              </w:rPr>
              <w:t>。</w:t>
            </w:r>
          </w:p>
          <w:p w:rsidR="001E6420" w:rsidRDefault="00BC51DB" w:rsidP="001E6420">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并购项目：</w:t>
            </w:r>
            <w:r w:rsidR="001E6420"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分众传媒</w:t>
            </w:r>
            <w:r w:rsidRPr="00BC51DB">
              <w:rPr>
                <w:rFonts w:ascii="Times New Roman" w:eastAsia="宋体" w:hAnsi="Times New Roman" w:cs="Times New Roman"/>
                <w:kern w:val="0"/>
                <w:szCs w:val="21"/>
              </w:rPr>
              <w:t xml:space="preserve">(002027) </w:t>
            </w:r>
            <w:r w:rsidRPr="00BC51DB">
              <w:rPr>
                <w:rFonts w:ascii="Times New Roman" w:eastAsia="宋体" w:hAnsi="Times New Roman" w:cs="Times New Roman"/>
                <w:kern w:val="0"/>
                <w:szCs w:val="21"/>
              </w:rPr>
              <w:t>借壳上市、腾讯收购全球最大手游公司</w:t>
            </w:r>
            <w:r w:rsidRPr="00BC51DB">
              <w:rPr>
                <w:rFonts w:ascii="Times New Roman" w:eastAsia="宋体" w:hAnsi="Times New Roman" w:cs="Times New Roman"/>
                <w:kern w:val="0"/>
                <w:szCs w:val="21"/>
              </w:rPr>
              <w:t xml:space="preserve"> Supercell </w:t>
            </w:r>
            <w:r w:rsidRPr="00BC51DB">
              <w:rPr>
                <w:rFonts w:ascii="Times New Roman" w:eastAsia="宋体" w:hAnsi="Times New Roman" w:cs="Times New Roman"/>
                <w:kern w:val="0"/>
                <w:szCs w:val="21"/>
              </w:rPr>
              <w:t>跨境投资和融资、众泰汽车借究金马股份</w:t>
            </w:r>
            <w:r w:rsidRPr="00BC51DB">
              <w:rPr>
                <w:rFonts w:ascii="Times New Roman" w:eastAsia="宋体" w:hAnsi="Times New Roman" w:cs="Times New Roman"/>
                <w:kern w:val="0"/>
                <w:szCs w:val="21"/>
              </w:rPr>
              <w:t>(000980)</w:t>
            </w:r>
            <w:r w:rsidRPr="00BC51DB">
              <w:rPr>
                <w:rFonts w:ascii="Times New Roman" w:eastAsia="宋体" w:hAnsi="Times New Roman" w:cs="Times New Roman"/>
                <w:kern w:val="0"/>
                <w:szCs w:val="21"/>
              </w:rPr>
              <w:t>、巴士在线借究上市</w:t>
            </w:r>
            <w:r w:rsidRPr="00BC51DB">
              <w:rPr>
                <w:rFonts w:ascii="Times New Roman" w:eastAsia="宋体" w:hAnsi="Times New Roman" w:cs="Times New Roman"/>
                <w:kern w:val="0"/>
                <w:szCs w:val="21"/>
              </w:rPr>
              <w:t>(002188)</w:t>
            </w:r>
            <w:r w:rsidRPr="00BC51DB">
              <w:rPr>
                <w:rFonts w:ascii="Times New Roman" w:eastAsia="宋体" w:hAnsi="Times New Roman" w:cs="Times New Roman"/>
                <w:kern w:val="0"/>
                <w:szCs w:val="21"/>
              </w:rPr>
              <w:t>、海立美达</w:t>
            </w:r>
            <w:r w:rsidRPr="00BC51DB">
              <w:rPr>
                <w:rFonts w:ascii="Times New Roman" w:eastAsia="宋体" w:hAnsi="Times New Roman" w:cs="Times New Roman"/>
                <w:kern w:val="0"/>
                <w:szCs w:val="21"/>
              </w:rPr>
              <w:t>(002537)</w:t>
            </w:r>
            <w:r w:rsidRPr="00BC51DB">
              <w:rPr>
                <w:rFonts w:ascii="Times New Roman" w:eastAsia="宋体" w:hAnsi="Times New Roman" w:cs="Times New Roman"/>
                <w:kern w:val="0"/>
                <w:szCs w:val="21"/>
              </w:rPr>
              <w:t>并购联动优</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势、东土科技</w:t>
            </w:r>
            <w:r w:rsidRPr="00BC51DB">
              <w:rPr>
                <w:rFonts w:ascii="Times New Roman" w:eastAsia="宋体" w:hAnsi="Times New Roman" w:cs="Times New Roman"/>
                <w:kern w:val="0"/>
                <w:szCs w:val="21"/>
              </w:rPr>
              <w:t xml:space="preserve">(300353) </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新大陆</w:t>
            </w:r>
            <w:r w:rsidRPr="00BC51DB">
              <w:rPr>
                <w:rFonts w:ascii="Times New Roman" w:eastAsia="宋体" w:hAnsi="Times New Roman" w:cs="Times New Roman"/>
                <w:kern w:val="0"/>
                <w:szCs w:val="21"/>
              </w:rPr>
              <w:t xml:space="preserve"> (000997) </w:t>
            </w:r>
            <w:r w:rsidRPr="00BC51DB">
              <w:rPr>
                <w:rFonts w:ascii="Times New Roman" w:eastAsia="宋体" w:hAnsi="Times New Roman" w:cs="Times New Roman"/>
                <w:kern w:val="0"/>
                <w:szCs w:val="21"/>
              </w:rPr>
              <w:t>并购等</w:t>
            </w:r>
            <w:r w:rsidR="001E6420">
              <w:rPr>
                <w:rFonts w:ascii="Times New Roman" w:eastAsia="宋体" w:hAnsi="Times New Roman" w:cs="Times New Roman" w:hint="eastAsia"/>
                <w:kern w:val="0"/>
                <w:szCs w:val="21"/>
              </w:rPr>
              <w:t>。</w:t>
            </w:r>
          </w:p>
          <w:p w:rsidR="00BC51DB" w:rsidRPr="00BC51DB" w:rsidRDefault="00BC51DB" w:rsidP="001E6420">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投资项目：</w:t>
            </w:r>
            <w:r w:rsidR="001E6420"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br/>
            </w:r>
            <w:r w:rsidRPr="00BC51DB">
              <w:rPr>
                <w:rFonts w:ascii="Times New Roman" w:eastAsia="宋体" w:hAnsi="Times New Roman" w:cs="Times New Roman"/>
                <w:kern w:val="0"/>
                <w:szCs w:val="21"/>
              </w:rPr>
              <w:t>分众传媒</w:t>
            </w:r>
            <w:r w:rsidRPr="00BC51DB">
              <w:rPr>
                <w:rFonts w:ascii="Times New Roman" w:eastAsia="宋体" w:hAnsi="Times New Roman" w:cs="Times New Roman"/>
                <w:kern w:val="0"/>
                <w:szCs w:val="21"/>
              </w:rPr>
              <w:t xml:space="preserve"> ( 002027 )</w:t>
            </w:r>
            <w:r w:rsidRPr="00BC51DB">
              <w:rPr>
                <w:rFonts w:ascii="Times New Roman" w:eastAsia="宋体" w:hAnsi="Times New Roman" w:cs="Times New Roman"/>
                <w:kern w:val="0"/>
                <w:szCs w:val="21"/>
              </w:rPr>
              <w:t>、北京建工环境</w:t>
            </w:r>
            <w:r w:rsidRPr="00BC51DB">
              <w:rPr>
                <w:rFonts w:ascii="Times New Roman" w:eastAsia="宋体" w:hAnsi="Times New Roman" w:cs="Times New Roman"/>
                <w:kern w:val="0"/>
                <w:szCs w:val="21"/>
              </w:rPr>
              <w:t xml:space="preserve">(300958) </w:t>
            </w:r>
            <w:r w:rsidRPr="00BC51DB">
              <w:rPr>
                <w:rFonts w:ascii="Times New Roman" w:eastAsia="宋体" w:hAnsi="Times New Roman" w:cs="Times New Roman"/>
                <w:kern w:val="0"/>
                <w:szCs w:val="21"/>
              </w:rPr>
              <w:t>、慈铭体检</w:t>
            </w:r>
            <w:r w:rsidRPr="00BC51DB">
              <w:rPr>
                <w:rFonts w:ascii="Times New Roman" w:eastAsia="宋体" w:hAnsi="Times New Roman" w:cs="Times New Roman"/>
                <w:kern w:val="0"/>
                <w:szCs w:val="21"/>
              </w:rPr>
              <w:t xml:space="preserve"> ( 002044 ) </w:t>
            </w:r>
            <w:r w:rsidRPr="00BC51DB">
              <w:rPr>
                <w:rFonts w:ascii="Times New Roman" w:eastAsia="宋体" w:hAnsi="Times New Roman" w:cs="Times New Roman"/>
                <w:kern w:val="0"/>
                <w:szCs w:val="21"/>
              </w:rPr>
              <w:t>安驰新能源科技（吉利系控股动力电池企业）、爱驰新能源汽车（原蔚来高管核心团队）、融通高科先进材料（</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锥电池正极材料领先企业）等</w:t>
            </w:r>
            <w:r w:rsidR="001E6420">
              <w:rPr>
                <w:rFonts w:ascii="Times New Roman" w:eastAsia="宋体" w:hAnsi="Times New Roman" w:cs="Times New Roman" w:hint="eastAsia"/>
                <w:kern w:val="0"/>
                <w:szCs w:val="21"/>
              </w:rPr>
              <w:t>。</w:t>
            </w:r>
          </w:p>
        </w:tc>
        <w:tc>
          <w:tcPr>
            <w:tcW w:w="1936" w:type="dxa"/>
            <w:shd w:val="clear" w:color="auto" w:fill="auto"/>
            <w:noWrap/>
            <w:vAlign w:val="center"/>
            <w:hideMark/>
          </w:tcPr>
          <w:p w:rsidR="00BC51DB" w:rsidRPr="00BC51DB" w:rsidRDefault="00BC51DB" w:rsidP="004D7B0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&lt;</w:t>
            </w:r>
            <w:r w:rsidRPr="00BC51DB">
              <w:rPr>
                <w:rFonts w:ascii="Times New Roman" w:eastAsia="宋体" w:hAnsi="Times New Roman" w:cs="Times New Roman"/>
                <w:kern w:val="0"/>
                <w:szCs w:val="21"/>
              </w:rPr>
              <w:t>共赢：企业与资本的博弈</w:t>
            </w:r>
            <w:r w:rsidRPr="00BC51DB">
              <w:rPr>
                <w:rFonts w:ascii="Times New Roman" w:eastAsia="宋体" w:hAnsi="Times New Roman" w:cs="Times New Roman"/>
                <w:kern w:val="0"/>
                <w:szCs w:val="21"/>
              </w:rPr>
              <w:t>&gt;</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2015</w:t>
            </w:r>
            <w:r w:rsidRPr="00BC51DB">
              <w:rPr>
                <w:rFonts w:ascii="Times New Roman" w:eastAsia="宋体" w:hAnsi="Times New Roman" w:cs="Times New Roman"/>
                <w:kern w:val="0"/>
                <w:szCs w:val="21"/>
              </w:rPr>
              <w:t>年</w:t>
            </w:r>
          </w:p>
        </w:tc>
        <w:tc>
          <w:tcPr>
            <w:tcW w:w="1499" w:type="dxa"/>
            <w:shd w:val="clear" w:color="auto" w:fill="auto"/>
            <w:vAlign w:val="center"/>
            <w:hideMark/>
          </w:tcPr>
          <w:p w:rsidR="004D7B0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北京大学</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出版社</w:t>
            </w:r>
          </w:p>
        </w:tc>
        <w:tc>
          <w:tcPr>
            <w:tcW w:w="1282"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该书被投资界三大领袖沈南鹏、熊晓鸽、阎焱称为</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中国投资</w:t>
            </w:r>
            <w:r w:rsidRPr="00BC51DB">
              <w:rPr>
                <w:rFonts w:ascii="Times New Roman" w:eastAsia="宋体" w:hAnsi="Times New Roman" w:cs="Times New Roman"/>
                <w:kern w:val="0"/>
                <w:szCs w:val="21"/>
              </w:rPr>
              <w:t>20</w:t>
            </w:r>
            <w:r w:rsidRPr="00BC51DB">
              <w:rPr>
                <w:rFonts w:ascii="Times New Roman" w:eastAsia="宋体" w:hAnsi="Times New Roman" w:cs="Times New Roman"/>
                <w:kern w:val="0"/>
                <w:szCs w:val="21"/>
              </w:rPr>
              <w:t>年以来见过的有关投资和创业最有深度、最专业的案例集</w:t>
            </w:r>
            <w:r w:rsidRPr="00BC51DB">
              <w:rPr>
                <w:rFonts w:ascii="Times New Roman" w:eastAsia="宋体" w:hAnsi="Times New Roman" w:cs="Times New Roman"/>
                <w:kern w:val="0"/>
                <w:szCs w:val="21"/>
              </w:rPr>
              <w:t>”</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868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1800"/>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lastRenderedPageBreak/>
              <w:t>4</w:t>
            </w:r>
          </w:p>
        </w:tc>
        <w:tc>
          <w:tcPr>
            <w:tcW w:w="1553"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工商管理学院</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教育</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中心</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葛芬</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19790125</w:t>
            </w:r>
          </w:p>
        </w:tc>
        <w:tc>
          <w:tcPr>
            <w:tcW w:w="1024"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管理</w:t>
            </w:r>
          </w:p>
        </w:tc>
        <w:tc>
          <w:tcPr>
            <w:tcW w:w="1142"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硕士</w:t>
            </w:r>
          </w:p>
        </w:tc>
        <w:tc>
          <w:tcPr>
            <w:tcW w:w="102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金融</w:t>
            </w:r>
          </w:p>
        </w:tc>
        <w:tc>
          <w:tcPr>
            <w:tcW w:w="1416"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思汇科技（深圳）</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有限公司</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民营企业</w:t>
            </w:r>
          </w:p>
        </w:tc>
        <w:tc>
          <w:tcPr>
            <w:tcW w:w="887" w:type="dxa"/>
            <w:vMerge w:val="restart"/>
            <w:shd w:val="clear" w:color="auto" w:fill="auto"/>
            <w:vAlign w:val="center"/>
            <w:hideMark/>
          </w:tcPr>
          <w:p w:rsidR="00BC51DB" w:rsidRPr="00BC51DB" w:rsidRDefault="00494638" w:rsidP="00BC51DB">
            <w:pPr>
              <w:widowControl/>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投资</w:t>
            </w:r>
          </w:p>
        </w:tc>
        <w:tc>
          <w:tcPr>
            <w:tcW w:w="11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董事长</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18</w:t>
            </w:r>
          </w:p>
        </w:tc>
        <w:tc>
          <w:tcPr>
            <w:tcW w:w="3646" w:type="dxa"/>
            <w:vMerge w:val="restart"/>
            <w:shd w:val="clear" w:color="auto" w:fill="auto"/>
            <w:vAlign w:val="center"/>
            <w:hideMark/>
          </w:tcPr>
          <w:p w:rsidR="00BC51DB" w:rsidRDefault="00BC51DB" w:rsidP="001E6420">
            <w:pPr>
              <w:widowControl/>
              <w:snapToGrid w:val="0"/>
              <w:spacing w:line="240" w:lineRule="exact"/>
              <w:rPr>
                <w:rFonts w:ascii="Times New Roman" w:eastAsia="宋体" w:hAnsi="Times New Roman" w:cs="Times New Roman"/>
                <w:kern w:val="0"/>
                <w:szCs w:val="21"/>
              </w:rPr>
            </w:pPr>
            <w:r w:rsidRPr="00BC51DB">
              <w:rPr>
                <w:rFonts w:ascii="Times New Roman" w:eastAsia="宋体" w:hAnsi="Times New Roman" w:cs="Times New Roman"/>
                <w:kern w:val="0"/>
                <w:szCs w:val="21"/>
              </w:rPr>
              <w:t xml:space="preserve">l </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本人长期以来和联合国计划开发署、世界银行、国际货币基金组织和亚洲开发银行建立了良好合作关系；</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同时在</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一带一路</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项目上发挥了重要作用，同商务部、国际合作署、中国进出口银行也建立了长期合作。参与了深圳前海的开发建设（投融资及国际合作）</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包括上海临港集团的投融资和国际合作</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以及在尼泊尔、吉布提、印尼和马来西亚项目公司的项目，受到了各国最高领导人的高度赞扬，目大多数都已成为示范项目，比如在中国钦州和马来西亚关丹的中马工业园和马村工业园</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t>2</w:t>
            </w:r>
            <w:r w:rsidRPr="00BC51DB">
              <w:rPr>
                <w:rFonts w:ascii="Times New Roman" w:eastAsia="宋体" w:hAnsi="Times New Roman" w:cs="Times New Roman"/>
                <w:kern w:val="0"/>
                <w:szCs w:val="21"/>
              </w:rPr>
              <w:t>、本人所创立的</w:t>
            </w:r>
            <w:r w:rsidRPr="00BC51DB">
              <w:rPr>
                <w:rFonts w:ascii="Times New Roman" w:eastAsia="宋体" w:hAnsi="Times New Roman" w:cs="Times New Roman"/>
                <w:kern w:val="0"/>
                <w:szCs w:val="21"/>
              </w:rPr>
              <w:t>XHUB SPACE</w:t>
            </w:r>
            <w:r w:rsidRPr="00BC51DB">
              <w:rPr>
                <w:rFonts w:ascii="Times New Roman" w:eastAsia="宋体" w:hAnsi="Times New Roman" w:cs="Times New Roman"/>
                <w:kern w:val="0"/>
                <w:szCs w:val="21"/>
              </w:rPr>
              <w:t>已经成为美国硅谷核心地带的有名创新聚集点，</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拥有区块链俱乐部</w:t>
            </w:r>
            <w:r w:rsidRPr="00BC51DB">
              <w:rPr>
                <w:rFonts w:ascii="Times New Roman" w:eastAsia="宋体" w:hAnsi="Times New Roman" w:cs="Times New Roman"/>
                <w:kern w:val="0"/>
                <w:szCs w:val="21"/>
              </w:rPr>
              <w:t xml:space="preserve">(200 </w:t>
            </w:r>
            <w:r w:rsidRPr="00BC51DB">
              <w:rPr>
                <w:rFonts w:ascii="Times New Roman" w:eastAsia="宋体" w:hAnsi="Times New Roman" w:cs="Times New Roman"/>
                <w:kern w:val="0"/>
                <w:szCs w:val="21"/>
              </w:rPr>
              <w:t>多名区块链开发者）</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举办大大小小科技交流活动超于场</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合作伙伴包括伯克利大学旗下基金会、斯坦福大学校友会、松下北美创新中心及腾讯北美创新中心等机构</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当前专家顾问团队有毕业千斯坦福大学、伯克利大学、加州大学及日本九州大学等在硅谷从事科技事业超过</w:t>
            </w:r>
            <w:r w:rsidRPr="00BC51DB">
              <w:rPr>
                <w:rFonts w:ascii="Times New Roman" w:eastAsia="宋体" w:hAnsi="Times New Roman" w:cs="Times New Roman"/>
                <w:kern w:val="0"/>
                <w:szCs w:val="21"/>
              </w:rPr>
              <w:t xml:space="preserve">25 </w:t>
            </w:r>
            <w:r w:rsidRPr="00BC51DB">
              <w:rPr>
                <w:rFonts w:ascii="Times New Roman" w:eastAsia="宋体" w:hAnsi="Times New Roman" w:cs="Times New Roman"/>
                <w:kern w:val="0"/>
                <w:szCs w:val="21"/>
              </w:rPr>
              <w:t>年的人才</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t xml:space="preserve">3 </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当前本人已推动完成杭州萧山项目，</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并已引进多个科技数字型企业入驻，</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成功打造集成产业服务带，</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形成当地产业优势，辐射带动萧山全域发展。</w:t>
            </w:r>
            <w:r w:rsidRPr="00BC51DB">
              <w:rPr>
                <w:rFonts w:ascii="Times New Roman" w:eastAsia="宋体" w:hAnsi="Times New Roman" w:cs="Times New Roman"/>
                <w:kern w:val="0"/>
                <w:szCs w:val="21"/>
              </w:rPr>
              <w:br/>
              <w:t xml:space="preserve">1 </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w:t>
            </w:r>
            <w:r w:rsidR="001E6420">
              <w:rPr>
                <w:rFonts w:ascii="Times New Roman" w:eastAsia="宋体" w:hAnsi="Times New Roman" w:cs="Times New Roman"/>
                <w:kern w:val="0"/>
                <w:szCs w:val="21"/>
              </w:rPr>
              <w:t>在联合国的影响：</w:t>
            </w:r>
            <w:r w:rsidR="001E6420">
              <w:rPr>
                <w:rFonts w:ascii="Times New Roman" w:eastAsia="宋体" w:hAnsi="Times New Roman" w:cs="Times New Roman" w:hint="eastAsia"/>
                <w:kern w:val="0"/>
                <w:szCs w:val="21"/>
              </w:rPr>
              <w:t>由于</w:t>
            </w:r>
            <w:r w:rsidR="001E6420">
              <w:rPr>
                <w:rFonts w:ascii="Times New Roman" w:eastAsia="宋体" w:hAnsi="Times New Roman" w:cs="Times New Roman"/>
                <w:kern w:val="0"/>
                <w:szCs w:val="21"/>
              </w:rPr>
              <w:t>前海项目的成功推荐，也</w:t>
            </w:r>
            <w:r w:rsidRPr="00BC51DB">
              <w:rPr>
                <w:rFonts w:ascii="Times New Roman" w:eastAsia="宋体" w:hAnsi="Times New Roman" w:cs="Times New Roman"/>
                <w:kern w:val="0"/>
                <w:szCs w:val="21"/>
              </w:rPr>
              <w:t>让前海第一次出现在联合国的舞台上</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被联合国秘书长副秘书长给予了高度表扬</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t>2</w:t>
            </w:r>
            <w:r w:rsidRPr="00BC51DB">
              <w:rPr>
                <w:rFonts w:ascii="Times New Roman" w:eastAsia="宋体" w:hAnsi="Times New Roman" w:cs="Times New Roman"/>
                <w:kern w:val="0"/>
                <w:szCs w:val="21"/>
              </w:rPr>
              <w:t>、共同参与推动</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亚太战略对话</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的发起和举办，自</w:t>
            </w:r>
            <w:r w:rsidR="001E6420">
              <w:rPr>
                <w:rFonts w:ascii="Times New Roman" w:eastAsia="宋体" w:hAnsi="Times New Roman" w:cs="Times New Roman"/>
                <w:kern w:val="0"/>
                <w:szCs w:val="21"/>
              </w:rPr>
              <w:t xml:space="preserve"> 2021</w:t>
            </w:r>
            <w:r w:rsidRPr="00BC51DB">
              <w:rPr>
                <w:rFonts w:ascii="Times New Roman" w:eastAsia="宋体" w:hAnsi="Times New Roman" w:cs="Times New Roman"/>
                <w:kern w:val="0"/>
                <w:szCs w:val="21"/>
              </w:rPr>
              <w:t>年</w:t>
            </w:r>
            <w:r w:rsidR="001E6420">
              <w:rPr>
                <w:rFonts w:ascii="Times New Roman" w:eastAsia="宋体" w:hAnsi="Times New Roman" w:cs="Times New Roman"/>
                <w:kern w:val="0"/>
                <w:szCs w:val="21"/>
              </w:rPr>
              <w:t>9</w:t>
            </w:r>
            <w:r w:rsidRPr="00BC51DB">
              <w:rPr>
                <w:rFonts w:ascii="Times New Roman" w:eastAsia="宋体" w:hAnsi="Times New Roman" w:cs="Times New Roman"/>
                <w:kern w:val="0"/>
                <w:szCs w:val="21"/>
              </w:rPr>
              <w:t>月首届</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对话</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举办以来，</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已召集了多位全球各国家的元首、政要及学者参与</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t>3</w:t>
            </w:r>
            <w:r w:rsidRPr="00BC51DB">
              <w:rPr>
                <w:rFonts w:ascii="Times New Roman" w:eastAsia="宋体" w:hAnsi="Times New Roman" w:cs="Times New Roman"/>
                <w:kern w:val="0"/>
                <w:szCs w:val="21"/>
              </w:rPr>
              <w:t>、参与上海临港</w:t>
            </w:r>
            <w:r w:rsidR="001E6420">
              <w:rPr>
                <w:rFonts w:ascii="Times New Roman" w:eastAsia="宋体" w:hAnsi="Times New Roman" w:cs="Times New Roman" w:hint="eastAsia"/>
                <w:kern w:val="0"/>
                <w:szCs w:val="21"/>
              </w:rPr>
              <w:t>集团</w:t>
            </w:r>
            <w:r w:rsidRPr="00BC51DB">
              <w:rPr>
                <w:rFonts w:ascii="Times New Roman" w:eastAsia="宋体" w:hAnsi="Times New Roman" w:cs="Times New Roman"/>
                <w:kern w:val="0"/>
                <w:szCs w:val="21"/>
              </w:rPr>
              <w:t>世界顶尖科学家论坛的整个筹备工作</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习主席给予了多次书面表扬</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br/>
              <w:t xml:space="preserve">4 </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组织策划</w:t>
            </w:r>
            <w:r w:rsidR="001E6420">
              <w:rPr>
                <w:rFonts w:ascii="Times New Roman" w:eastAsia="宋体" w:hAnsi="Times New Roman" w:cs="Times New Roman"/>
                <w:kern w:val="0"/>
                <w:szCs w:val="21"/>
              </w:rPr>
              <w:t>2017</w:t>
            </w:r>
            <w:r w:rsidRPr="00BC51DB">
              <w:rPr>
                <w:rFonts w:ascii="Times New Roman" w:eastAsia="宋体" w:hAnsi="Times New Roman" w:cs="Times New Roman"/>
                <w:kern w:val="0"/>
                <w:szCs w:val="21"/>
              </w:rPr>
              <w:t>年第五屈深圳国际低碳论坛企业家论坛</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以</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共担气候变化责任，</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共促绿色低碳发展</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为主题的第五届深圳国际低碳城论坛，</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推动</w:t>
            </w:r>
            <w:r w:rsidR="001E6420">
              <w:rPr>
                <w:rFonts w:ascii="Times New Roman" w:eastAsia="宋体" w:hAnsi="Times New Roman" w:cs="Times New Roman" w:hint="eastAsia"/>
                <w:kern w:val="0"/>
                <w:szCs w:val="21"/>
              </w:rPr>
              <w:t>企业</w:t>
            </w:r>
            <w:r w:rsidRPr="00BC51DB">
              <w:rPr>
                <w:rFonts w:ascii="Times New Roman" w:eastAsia="宋体" w:hAnsi="Times New Roman" w:cs="Times New Roman"/>
                <w:kern w:val="0"/>
                <w:szCs w:val="21"/>
              </w:rPr>
              <w:t>参与气候变化话题</w:t>
            </w:r>
            <w:r w:rsidR="00D422C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t>积极减碳</w:t>
            </w:r>
            <w:r w:rsidR="001E642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t>5</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从全球角度重点讨论推动</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南南合作</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的</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经验和做法、低碳城市发展的目标和路径、能源革命的机遇和挑战、绿色金触体系的创新和实践、低碳发展中企业的责任与担当等话题；</w:t>
            </w:r>
            <w:r w:rsidRPr="00BC51DB">
              <w:rPr>
                <w:rFonts w:ascii="Times New Roman" w:eastAsia="宋体" w:hAnsi="Times New Roman" w:cs="Times New Roman"/>
                <w:kern w:val="0"/>
                <w:szCs w:val="21"/>
              </w:rPr>
              <w:br/>
              <w:t>6</w:t>
            </w:r>
            <w:r w:rsidRPr="00BC51DB">
              <w:rPr>
                <w:rFonts w:ascii="Times New Roman" w:eastAsia="宋体" w:hAnsi="Times New Roman" w:cs="Times New Roman"/>
                <w:kern w:val="0"/>
                <w:szCs w:val="21"/>
              </w:rPr>
              <w:t>、与政府合作推动深圳企业走出去，</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推动深圳企业与日本合作，</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加强国际化建设</w:t>
            </w:r>
            <w:r w:rsidR="00D422C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t>7</w:t>
            </w:r>
            <w:r w:rsidRPr="00BC51DB">
              <w:rPr>
                <w:rFonts w:ascii="Times New Roman" w:eastAsia="宋体" w:hAnsi="Times New Roman" w:cs="Times New Roman"/>
                <w:kern w:val="0"/>
                <w:szCs w:val="21"/>
              </w:rPr>
              <w:t>、积极推动公益活动，</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组建应对气候变化促进会</w:t>
            </w:r>
            <w:r w:rsidR="00D422C0">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t>8</w:t>
            </w:r>
            <w:r w:rsidRPr="00BC51DB">
              <w:rPr>
                <w:rFonts w:ascii="Times New Roman" w:eastAsia="宋体" w:hAnsi="Times New Roman" w:cs="Times New Roman"/>
                <w:kern w:val="0"/>
                <w:szCs w:val="21"/>
              </w:rPr>
              <w:t>、策划南南学院与深</w:t>
            </w:r>
            <w:r w:rsidRPr="00BC51DB">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圳企业机构合作交流。</w:t>
            </w:r>
          </w:p>
          <w:p w:rsidR="00D422C0" w:rsidRPr="00BC51DB" w:rsidRDefault="00D422C0" w:rsidP="001E6420">
            <w:pPr>
              <w:widowControl/>
              <w:snapToGrid w:val="0"/>
              <w:spacing w:line="240" w:lineRule="exact"/>
              <w:rPr>
                <w:rFonts w:ascii="Times New Roman" w:eastAsia="宋体" w:hAnsi="Times New Roman" w:cs="Times New Roman"/>
                <w:kern w:val="0"/>
                <w:szCs w:val="21"/>
              </w:rPr>
            </w:pPr>
          </w:p>
        </w:tc>
        <w:tc>
          <w:tcPr>
            <w:tcW w:w="1936" w:type="dxa"/>
            <w:shd w:val="clear" w:color="auto" w:fill="auto"/>
            <w:noWrap/>
            <w:vAlign w:val="bottom"/>
            <w:hideMark/>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noWrap/>
            <w:vAlign w:val="bottom"/>
            <w:hideMark/>
          </w:tcPr>
          <w:p w:rsidR="00BC51DB" w:rsidRPr="00BC51DB" w:rsidRDefault="00BC51DB" w:rsidP="00BC51DB">
            <w:pPr>
              <w:widowControl/>
              <w:snapToGrid w:val="0"/>
              <w:jc w:val="left"/>
              <w:rPr>
                <w:rFonts w:ascii="Times New Roman" w:eastAsia="Times New Roman" w:hAnsi="Times New Roman" w:cs="Times New Roman"/>
                <w:kern w:val="0"/>
                <w:szCs w:val="21"/>
              </w:rPr>
            </w:pPr>
          </w:p>
        </w:tc>
        <w:tc>
          <w:tcPr>
            <w:tcW w:w="1499" w:type="dxa"/>
            <w:shd w:val="clear" w:color="auto" w:fill="auto"/>
            <w:noWrap/>
            <w:vAlign w:val="bottom"/>
            <w:hideMark/>
          </w:tcPr>
          <w:p w:rsidR="00BC51DB" w:rsidRPr="00BC51DB" w:rsidRDefault="00BC51DB" w:rsidP="00BC51DB">
            <w:pPr>
              <w:widowControl/>
              <w:snapToGrid w:val="0"/>
              <w:jc w:val="left"/>
              <w:rPr>
                <w:rFonts w:ascii="Times New Roman" w:eastAsia="Times New Roman" w:hAnsi="Times New Roman" w:cs="Times New Roman"/>
                <w:kern w:val="0"/>
                <w:szCs w:val="21"/>
              </w:rPr>
            </w:pPr>
          </w:p>
        </w:tc>
        <w:tc>
          <w:tcPr>
            <w:tcW w:w="1282" w:type="dxa"/>
            <w:shd w:val="clear" w:color="auto" w:fill="auto"/>
            <w:noWrap/>
            <w:vAlign w:val="bottom"/>
            <w:hideMark/>
          </w:tcPr>
          <w:p w:rsidR="00BC51DB" w:rsidRPr="00BC51DB" w:rsidRDefault="00BC51DB" w:rsidP="00BC51DB">
            <w:pPr>
              <w:widowControl/>
              <w:snapToGrid w:val="0"/>
              <w:jc w:val="left"/>
              <w:rPr>
                <w:rFonts w:ascii="Times New Roman" w:eastAsia="Times New Roman"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345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lastRenderedPageBreak/>
              <w:t>5</w:t>
            </w:r>
          </w:p>
        </w:tc>
        <w:tc>
          <w:tcPr>
            <w:tcW w:w="1553"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工商管理学院</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教育</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中心</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田昌闻</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19861201</w:t>
            </w:r>
          </w:p>
        </w:tc>
        <w:tc>
          <w:tcPr>
            <w:tcW w:w="1024"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管理</w:t>
            </w:r>
          </w:p>
        </w:tc>
        <w:tc>
          <w:tcPr>
            <w:tcW w:w="1142" w:type="dxa"/>
            <w:vMerge w:val="restart"/>
            <w:shd w:val="clear" w:color="auto" w:fill="auto"/>
            <w:vAlign w:val="center"/>
            <w:hideMark/>
          </w:tcPr>
          <w:p w:rsidR="00BC51DB" w:rsidRPr="00BC51DB" w:rsidRDefault="00B70B32" w:rsidP="00BC51DB">
            <w:pPr>
              <w:widowControl/>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硕士</w:t>
            </w:r>
          </w:p>
        </w:tc>
        <w:tc>
          <w:tcPr>
            <w:tcW w:w="102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深圳前海恒银商业保理有限公司</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民营企业</w:t>
            </w:r>
          </w:p>
        </w:tc>
        <w:tc>
          <w:tcPr>
            <w:tcW w:w="88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116"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创始人</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总经理</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16</w:t>
            </w:r>
            <w:r w:rsidRPr="00BC51DB">
              <w:rPr>
                <w:rFonts w:ascii="Times New Roman" w:eastAsia="宋体" w:hAnsi="Times New Roman" w:cs="Times New Roman"/>
                <w:kern w:val="0"/>
                <w:szCs w:val="21"/>
              </w:rPr>
              <w:t>年</w:t>
            </w:r>
          </w:p>
        </w:tc>
        <w:tc>
          <w:tcPr>
            <w:tcW w:w="3646" w:type="dxa"/>
            <w:vMerge w:val="restart"/>
            <w:shd w:val="clear" w:color="auto" w:fill="auto"/>
            <w:vAlign w:val="center"/>
            <w:hideMark/>
          </w:tcPr>
          <w:p w:rsidR="00BC51DB" w:rsidRPr="00BC51DB" w:rsidRDefault="00BC51DB" w:rsidP="00BC51DB">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1</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2005</w:t>
            </w:r>
            <w:r w:rsidRPr="00BC51DB">
              <w:rPr>
                <w:rFonts w:ascii="Times New Roman" w:eastAsia="宋体" w:hAnsi="Times New Roman" w:cs="Times New Roman"/>
                <w:kern w:val="0"/>
                <w:szCs w:val="21"/>
              </w:rPr>
              <w:t>年至</w:t>
            </w:r>
            <w:r w:rsidRPr="00BC51DB">
              <w:rPr>
                <w:rFonts w:ascii="Times New Roman" w:eastAsia="宋体" w:hAnsi="Times New Roman" w:cs="Times New Roman"/>
                <w:kern w:val="0"/>
                <w:szCs w:val="21"/>
              </w:rPr>
              <w:t>2008</w:t>
            </w:r>
            <w:r w:rsidRPr="00BC51DB">
              <w:rPr>
                <w:rFonts w:ascii="Times New Roman" w:eastAsia="宋体" w:hAnsi="Times New Roman" w:cs="Times New Roman"/>
                <w:kern w:val="0"/>
                <w:szCs w:val="21"/>
              </w:rPr>
              <w:t>年期间，负责处理各大银行、法院、</w:t>
            </w:r>
            <w:r w:rsidRPr="00BC51DB">
              <w:rPr>
                <w:rFonts w:ascii="Times New Roman" w:eastAsia="宋体" w:hAnsi="Times New Roman" w:cs="Times New Roman"/>
                <w:kern w:val="0"/>
                <w:szCs w:val="21"/>
              </w:rPr>
              <w:t>AMC</w:t>
            </w:r>
            <w:r w:rsidRPr="00BC51DB">
              <w:rPr>
                <w:rFonts w:ascii="Times New Roman" w:eastAsia="宋体" w:hAnsi="Times New Roman" w:cs="Times New Roman"/>
                <w:kern w:val="0"/>
                <w:szCs w:val="21"/>
              </w:rPr>
              <w:t>机构的多个不良资产业务项目，经手的不良资产包高达百亿。在负责该项目期间，与长城资产、信达资产顶级的投资机构合作默契，成功实现了不良资产的变现，取得了良好的社会效应和经济效益。</w:t>
            </w:r>
            <w:r w:rsidRPr="00BC51DB">
              <w:rPr>
                <w:rFonts w:ascii="Times New Roman" w:eastAsia="宋体" w:hAnsi="Times New Roman" w:cs="Times New Roman"/>
                <w:kern w:val="0"/>
                <w:szCs w:val="21"/>
              </w:rPr>
              <w:br/>
              <w:t>2</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2009</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1</w:t>
            </w:r>
            <w:r w:rsidRPr="00BC51DB">
              <w:rPr>
                <w:rFonts w:ascii="Times New Roman" w:eastAsia="宋体" w:hAnsi="Times New Roman" w:cs="Times New Roman"/>
                <w:kern w:val="0"/>
                <w:szCs w:val="21"/>
              </w:rPr>
              <w:t>月，充分利用此前积累的金融投行领域的资源和经验，加入深圳市世纪华能实业有限公司担任副总经理。任职期间，带领团队取得融资超过十亿，参与多家国有大型企业及著名金融企业的招投标。同时，于</w:t>
            </w:r>
            <w:r w:rsidRPr="00BC51DB">
              <w:rPr>
                <w:rFonts w:ascii="Times New Roman" w:eastAsia="宋体" w:hAnsi="Times New Roman" w:cs="Times New Roman"/>
                <w:kern w:val="0"/>
                <w:szCs w:val="21"/>
              </w:rPr>
              <w:t>2013</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12</w:t>
            </w:r>
            <w:r w:rsidRPr="00BC51DB">
              <w:rPr>
                <w:rFonts w:ascii="Times New Roman" w:eastAsia="宋体" w:hAnsi="Times New Roman" w:cs="Times New Roman"/>
                <w:kern w:val="0"/>
                <w:szCs w:val="21"/>
              </w:rPr>
              <w:t>月筹建及设立中国第二家取得金融牌照的新疆喀什银通金融票据服务有限公司。</w:t>
            </w:r>
            <w:r w:rsidRPr="00BC51DB">
              <w:rPr>
                <w:rFonts w:ascii="Times New Roman" w:eastAsia="宋体" w:hAnsi="Times New Roman" w:cs="Times New Roman"/>
                <w:kern w:val="0"/>
                <w:szCs w:val="21"/>
              </w:rPr>
              <w:br/>
              <w:t>3</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2014</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7</w:t>
            </w:r>
            <w:r w:rsidRPr="00BC51DB">
              <w:rPr>
                <w:rFonts w:ascii="Times New Roman" w:eastAsia="宋体" w:hAnsi="Times New Roman" w:cs="Times New Roman"/>
                <w:kern w:val="0"/>
                <w:szCs w:val="21"/>
              </w:rPr>
              <w:t>月，创立深圳前海恒银金融服务有限公司，注册资本</w:t>
            </w:r>
            <w:r w:rsidRPr="00BC51DB">
              <w:rPr>
                <w:rFonts w:ascii="Times New Roman" w:eastAsia="宋体" w:hAnsi="Times New Roman" w:cs="Times New Roman"/>
                <w:kern w:val="0"/>
                <w:szCs w:val="21"/>
              </w:rPr>
              <w:t>5000</w:t>
            </w:r>
            <w:r w:rsidRPr="00BC51DB">
              <w:rPr>
                <w:rFonts w:ascii="Times New Roman" w:eastAsia="宋体" w:hAnsi="Times New Roman" w:cs="Times New Roman"/>
                <w:kern w:val="0"/>
                <w:szCs w:val="21"/>
              </w:rPr>
              <w:t>万元。公司为百家金融机构提供金融软件、技术咨询及服务等，为高达千家小微企业提供票据对接咨询服务等其他服务，公司牢牢把握</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深圳前海自贸区</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概念，是深圳市首批取得该服务资质的公司。在任职期间，公司的涉及的业务金额超过二十亿，创立首年公司即取得良好的业绩，利润高达千万。与此同时，培养了一批在金融、保险、银行、医疗、教育、核能、汽车等领域的技术核心团队，公司在软件开发、软件定制方面已经拥有雄厚的开发实力。</w:t>
            </w:r>
            <w:r w:rsidRPr="00BC51DB">
              <w:rPr>
                <w:rFonts w:ascii="Times New Roman" w:eastAsia="宋体" w:hAnsi="Times New Roman" w:cs="Times New Roman"/>
                <w:kern w:val="0"/>
                <w:szCs w:val="21"/>
              </w:rPr>
              <w:br/>
              <w:t>4</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2015</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8</w:t>
            </w:r>
            <w:r w:rsidRPr="00BC51DB">
              <w:rPr>
                <w:rFonts w:ascii="Times New Roman" w:eastAsia="宋体" w:hAnsi="Times New Roman" w:cs="Times New Roman"/>
                <w:kern w:val="0"/>
                <w:szCs w:val="21"/>
              </w:rPr>
              <w:t>月，在深圳前海恒银金融服务有限公司运营良好的情况下，为了实现业务的快速增长，实现业务链条的合理延展，设立深圳市恒银互联科技有限公司，实缴注册资本</w:t>
            </w:r>
            <w:r w:rsidRPr="00BC51DB">
              <w:rPr>
                <w:rFonts w:ascii="Times New Roman" w:eastAsia="宋体" w:hAnsi="Times New Roman" w:cs="Times New Roman"/>
                <w:kern w:val="0"/>
                <w:szCs w:val="21"/>
              </w:rPr>
              <w:t>2000</w:t>
            </w:r>
            <w:r w:rsidRPr="00BC51DB">
              <w:rPr>
                <w:rFonts w:ascii="Times New Roman" w:eastAsia="宋体" w:hAnsi="Times New Roman" w:cs="Times New Roman"/>
                <w:kern w:val="0"/>
                <w:szCs w:val="21"/>
              </w:rPr>
              <w:t>万。公司以票据经纪服务切入供应链金融基于票据的支付、流通、融资三大功能的应用，推动应收账款票据化，让中小微企业的结算、融资更简易，更高效，帮助了数万家中小微企业全面打通惠普金融，对接成本最低的银行等金融机构资金。公司的核心业务涉及恒大集团、碧桂园集团、华润置地、中兴通讯、比亚迪供应链、中铁建设、中国华西、中建二局、中建五局、中铁二局、中铁十二局、特发信息等，业务区域遍布广东、湖北、四川、贵州、海南、上海、北京、浙江等多地。</w:t>
            </w:r>
            <w:r w:rsidRPr="00BC51DB">
              <w:rPr>
                <w:rFonts w:ascii="Times New Roman" w:eastAsia="宋体" w:hAnsi="Times New Roman" w:cs="Times New Roman"/>
                <w:kern w:val="0"/>
                <w:szCs w:val="21"/>
              </w:rPr>
              <w:br/>
              <w:t>5</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2018</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5</w:t>
            </w:r>
            <w:r w:rsidRPr="00BC51DB">
              <w:rPr>
                <w:rFonts w:ascii="Times New Roman" w:eastAsia="宋体" w:hAnsi="Times New Roman" w:cs="Times New Roman"/>
                <w:kern w:val="0"/>
                <w:szCs w:val="21"/>
              </w:rPr>
              <w:t>月，为了进一步完善现有公司商业布局，设立深圳前海恒银商业保理有限公司，注册资本</w:t>
            </w:r>
            <w:r w:rsidRPr="00BC51DB">
              <w:rPr>
                <w:rFonts w:ascii="Times New Roman" w:eastAsia="宋体" w:hAnsi="Times New Roman" w:cs="Times New Roman"/>
                <w:kern w:val="0"/>
                <w:szCs w:val="21"/>
              </w:rPr>
              <w:t>10000</w:t>
            </w:r>
            <w:r w:rsidRPr="00BC51DB">
              <w:rPr>
                <w:rFonts w:ascii="Times New Roman" w:eastAsia="宋体" w:hAnsi="Times New Roman" w:cs="Times New Roman"/>
                <w:kern w:val="0"/>
                <w:szCs w:val="21"/>
              </w:rPr>
              <w:t>万元人民币，创立了直接融资保理、售后</w:t>
            </w:r>
            <w:r w:rsidRPr="00BC51DB">
              <w:rPr>
                <w:rFonts w:ascii="Times New Roman" w:eastAsia="宋体" w:hAnsi="Times New Roman" w:cs="Times New Roman"/>
                <w:kern w:val="0"/>
                <w:szCs w:val="21"/>
              </w:rPr>
              <w:lastRenderedPageBreak/>
              <w:t>回租、厂商保理、杠杆保理、联合保理、委托保理、转保理等业务模式，与信贷优势互补，规避了业务限制，增强了竞争力，改善信贷结构，提升了信贷安全性，是一种创新的金融工具。设立后，在天津设立分支机构，得到了本地多家银行及外埠银行的高度认可和大力支持。公司基于雄厚的实力，与国家开发银行、中国农业银行、中信银行、光大银行、东亚银行、宁夏银行等多家银行开展深入的全方位的合作，至此，基于金融保理领域的商业布局实现了完美的闭环。</w:t>
            </w:r>
            <w:r w:rsidRPr="00BC51DB">
              <w:rPr>
                <w:rFonts w:ascii="Times New Roman" w:eastAsia="宋体" w:hAnsi="Times New Roman" w:cs="Times New Roman"/>
                <w:kern w:val="0"/>
                <w:szCs w:val="21"/>
              </w:rPr>
              <w:br/>
              <w:t>6</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2021</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3</w:t>
            </w:r>
            <w:r w:rsidRPr="00BC51DB">
              <w:rPr>
                <w:rFonts w:ascii="Times New Roman" w:eastAsia="宋体" w:hAnsi="Times New Roman" w:cs="Times New Roman"/>
                <w:kern w:val="0"/>
                <w:szCs w:val="21"/>
              </w:rPr>
              <w:t>月，考虑疫情对于经济的不利影响，认为可能是国际贸易发展的良好时机，设立深圳市斯蒂安贸易有限公司，注册资本</w:t>
            </w:r>
            <w:r w:rsidRPr="00BC51DB">
              <w:rPr>
                <w:rFonts w:ascii="Times New Roman" w:eastAsia="宋体" w:hAnsi="Times New Roman" w:cs="Times New Roman"/>
                <w:kern w:val="0"/>
                <w:szCs w:val="21"/>
              </w:rPr>
              <w:t>800</w:t>
            </w:r>
            <w:r w:rsidRPr="00BC51DB">
              <w:rPr>
                <w:rFonts w:ascii="Times New Roman" w:eastAsia="宋体" w:hAnsi="Times New Roman" w:cs="Times New Roman"/>
                <w:kern w:val="0"/>
                <w:szCs w:val="21"/>
              </w:rPr>
              <w:t>万元。公司主要从事电子商务，目前已经布局欧洲和美洲市场，拥有强大的对外销售团队以及完善的供应商管理机制。</w:t>
            </w:r>
            <w:r w:rsidRPr="00BC51DB">
              <w:rPr>
                <w:rFonts w:ascii="Times New Roman" w:eastAsia="宋体" w:hAnsi="Times New Roman" w:cs="Times New Roman"/>
                <w:kern w:val="0"/>
                <w:szCs w:val="21"/>
              </w:rPr>
              <w:br/>
              <w:t>7</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 xml:space="preserve"> 2021</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4</w:t>
            </w:r>
            <w:r w:rsidRPr="00BC51DB">
              <w:rPr>
                <w:rFonts w:ascii="Times New Roman" w:eastAsia="宋体" w:hAnsi="Times New Roman" w:cs="Times New Roman"/>
                <w:kern w:val="0"/>
                <w:szCs w:val="21"/>
              </w:rPr>
              <w:t>月，基于对当下经济形势以及未来发展趋势的考虑，设立深圳市蛙牛数字科技有限公司。公司在拥有良好的计算机软件开发团队的情况下，结合</w:t>
            </w:r>
            <w:r w:rsidRPr="00BC51DB">
              <w:rPr>
                <w:rFonts w:ascii="Times New Roman" w:eastAsia="宋体" w:hAnsi="Times New Roman" w:cs="Times New Roman"/>
                <w:kern w:val="0"/>
                <w:szCs w:val="21"/>
              </w:rPr>
              <w:t xml:space="preserve">AI </w:t>
            </w:r>
            <w:r w:rsidRPr="00BC51DB">
              <w:rPr>
                <w:rFonts w:ascii="Times New Roman" w:eastAsia="宋体" w:hAnsi="Times New Roman" w:cs="Times New Roman"/>
                <w:kern w:val="0"/>
                <w:szCs w:val="21"/>
              </w:rPr>
              <w:t>和</w:t>
            </w:r>
            <w:r w:rsidRPr="00BC51DB">
              <w:rPr>
                <w:rFonts w:ascii="Times New Roman" w:eastAsia="宋体" w:hAnsi="Times New Roman" w:cs="Times New Roman"/>
                <w:kern w:val="0"/>
                <w:szCs w:val="21"/>
              </w:rPr>
              <w:t>VR</w:t>
            </w:r>
            <w:r w:rsidRPr="00BC51DB">
              <w:rPr>
                <w:rFonts w:ascii="Times New Roman" w:eastAsia="宋体" w:hAnsi="Times New Roman" w:cs="Times New Roman"/>
                <w:kern w:val="0"/>
                <w:szCs w:val="21"/>
              </w:rPr>
              <w:t>技术，提供数字文化创意内容应用服务等，是深圳首批拥有元宇宙技术及应用元宇宙技术的公司</w:t>
            </w:r>
          </w:p>
        </w:tc>
        <w:tc>
          <w:tcPr>
            <w:tcW w:w="1936" w:type="dxa"/>
            <w:shd w:val="clear" w:color="auto" w:fill="auto"/>
            <w:noWrap/>
            <w:vAlign w:val="bottom"/>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67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6C4E99">
        <w:trPr>
          <w:trHeight w:val="1425"/>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6</w:t>
            </w:r>
          </w:p>
        </w:tc>
        <w:tc>
          <w:tcPr>
            <w:tcW w:w="1553"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工商管理学院</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教育</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中心</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皮君</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19841203</w:t>
            </w:r>
          </w:p>
        </w:tc>
        <w:tc>
          <w:tcPr>
            <w:tcW w:w="1024" w:type="dxa"/>
            <w:vMerge w:val="restart"/>
            <w:shd w:val="clear" w:color="auto" w:fill="auto"/>
            <w:vAlign w:val="center"/>
            <w:hideMark/>
          </w:tcPr>
          <w:p w:rsidR="006C4E99" w:rsidRDefault="00D422C0" w:rsidP="00BC51DB">
            <w:pPr>
              <w:widowControl/>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工商</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管理</w:t>
            </w:r>
          </w:p>
        </w:tc>
        <w:tc>
          <w:tcPr>
            <w:tcW w:w="1142" w:type="dxa"/>
            <w:vMerge w:val="restart"/>
            <w:shd w:val="clear" w:color="auto" w:fill="auto"/>
            <w:vAlign w:val="center"/>
            <w:hideMark/>
          </w:tcPr>
          <w:p w:rsidR="00BC51DB" w:rsidRPr="00BC51DB" w:rsidRDefault="00B70B32" w:rsidP="00BC51DB">
            <w:pPr>
              <w:widowControl/>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博士</w:t>
            </w:r>
          </w:p>
        </w:tc>
        <w:tc>
          <w:tcPr>
            <w:tcW w:w="102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经济学博士</w:t>
            </w:r>
          </w:p>
        </w:tc>
        <w:tc>
          <w:tcPr>
            <w:tcW w:w="1416" w:type="dxa"/>
            <w:vMerge w:val="restart"/>
            <w:shd w:val="clear" w:color="auto" w:fill="auto"/>
            <w:vAlign w:val="center"/>
            <w:hideMark/>
          </w:tcPr>
          <w:p w:rsidR="006C4E99"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三峡国际博览中心（宜昌）有限公司，长阳卓尔文化旅游投资有限</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公司</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民营企业</w:t>
            </w:r>
          </w:p>
        </w:tc>
        <w:tc>
          <w:tcPr>
            <w:tcW w:w="88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1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总经理</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5</w:t>
            </w:r>
          </w:p>
        </w:tc>
        <w:tc>
          <w:tcPr>
            <w:tcW w:w="3646" w:type="dxa"/>
            <w:vMerge w:val="restart"/>
            <w:shd w:val="clear" w:color="auto" w:fill="auto"/>
            <w:vAlign w:val="center"/>
            <w:hideMark/>
          </w:tcPr>
          <w:p w:rsidR="00BC51DB" w:rsidRPr="00BC51DB" w:rsidRDefault="00BC51DB" w:rsidP="00BC51DB">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1.</w:t>
            </w:r>
            <w:r w:rsidRPr="00BC51DB">
              <w:rPr>
                <w:rFonts w:ascii="Times New Roman" w:eastAsia="宋体" w:hAnsi="Times New Roman" w:cs="Times New Roman"/>
                <w:kern w:val="0"/>
                <w:szCs w:val="21"/>
              </w:rPr>
              <w:t>将扶贫项目创建为国家</w:t>
            </w:r>
            <w:r w:rsidRPr="00BC51DB">
              <w:rPr>
                <w:rFonts w:ascii="Times New Roman" w:eastAsia="宋体" w:hAnsi="Times New Roman" w:cs="Times New Roman"/>
                <w:kern w:val="0"/>
                <w:szCs w:val="21"/>
              </w:rPr>
              <w:t>4A</w:t>
            </w:r>
            <w:r w:rsidRPr="00BC51DB">
              <w:rPr>
                <w:rFonts w:ascii="Times New Roman" w:eastAsia="宋体" w:hAnsi="Times New Roman" w:cs="Times New Roman"/>
                <w:kern w:val="0"/>
                <w:szCs w:val="21"/>
              </w:rPr>
              <w:t>级旅游景区；</w:t>
            </w:r>
            <w:r w:rsidRPr="00BC51DB">
              <w:rPr>
                <w:rFonts w:ascii="Times New Roman" w:eastAsia="宋体" w:hAnsi="Times New Roman" w:cs="Times New Roman"/>
                <w:kern w:val="0"/>
                <w:szCs w:val="21"/>
              </w:rPr>
              <w:t>2.</w:t>
            </w:r>
            <w:r w:rsidRPr="00BC51DB">
              <w:rPr>
                <w:rFonts w:ascii="Times New Roman" w:eastAsia="宋体" w:hAnsi="Times New Roman" w:cs="Times New Roman"/>
                <w:kern w:val="0"/>
                <w:szCs w:val="21"/>
              </w:rPr>
              <w:t>编撰出版《长阳情》；</w:t>
            </w:r>
            <w:r w:rsidRPr="00BC51DB">
              <w:rPr>
                <w:rFonts w:ascii="Times New Roman" w:eastAsia="宋体" w:hAnsi="Times New Roman" w:cs="Times New Roman"/>
                <w:kern w:val="0"/>
                <w:szCs w:val="21"/>
              </w:rPr>
              <w:t>3.</w:t>
            </w:r>
            <w:r w:rsidRPr="00BC51DB">
              <w:rPr>
                <w:rFonts w:ascii="Times New Roman" w:eastAsia="宋体" w:hAnsi="Times New Roman" w:cs="Times New Roman"/>
                <w:kern w:val="0"/>
                <w:szCs w:val="21"/>
              </w:rPr>
              <w:t>疫情期间组织集团向宜昌市捐赠三批抗疫物资；</w:t>
            </w:r>
            <w:r w:rsidRPr="00BC51DB">
              <w:rPr>
                <w:rFonts w:ascii="Times New Roman" w:eastAsia="宋体" w:hAnsi="Times New Roman" w:cs="Times New Roman"/>
                <w:kern w:val="0"/>
                <w:szCs w:val="21"/>
              </w:rPr>
              <w:t>4.</w:t>
            </w:r>
            <w:r w:rsidRPr="00BC51DB">
              <w:rPr>
                <w:rFonts w:ascii="Times New Roman" w:eastAsia="宋体" w:hAnsi="Times New Roman" w:cs="Times New Roman"/>
                <w:kern w:val="0"/>
                <w:szCs w:val="21"/>
              </w:rPr>
              <w:t>项目带动当地近千人就业。</w:t>
            </w:r>
          </w:p>
        </w:tc>
        <w:tc>
          <w:tcPr>
            <w:tcW w:w="1936" w:type="dxa"/>
            <w:shd w:val="clear" w:color="auto" w:fill="auto"/>
            <w:vAlign w:val="center"/>
            <w:hideMark/>
          </w:tcPr>
          <w:p w:rsidR="00BC51DB" w:rsidRPr="00BC51DB" w:rsidRDefault="00BC51DB" w:rsidP="0084180C">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基于竞争力评价的旅游目的地形象提升研究</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以海南国际旅游岛为例</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2019</w:t>
            </w:r>
          </w:p>
        </w:tc>
        <w:tc>
          <w:tcPr>
            <w:tcW w:w="1499" w:type="dxa"/>
            <w:shd w:val="clear" w:color="auto" w:fill="auto"/>
            <w:vAlign w:val="center"/>
            <w:hideMark/>
          </w:tcPr>
          <w:p w:rsidR="00BC51DB" w:rsidRPr="00BC51DB" w:rsidRDefault="00BC51DB" w:rsidP="006C4E99">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中南财经政法大学学报</w:t>
            </w: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6C4E99">
        <w:trPr>
          <w:trHeight w:val="197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84180C">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国际旅游目的地形象标杆对比评价模型构建及其应用</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以中国</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长阳卓尔国际旅游度假区为例</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2019</w:t>
            </w:r>
          </w:p>
        </w:tc>
        <w:tc>
          <w:tcPr>
            <w:tcW w:w="1499" w:type="dxa"/>
            <w:shd w:val="clear" w:color="auto" w:fill="auto"/>
            <w:vAlign w:val="center"/>
            <w:hideMark/>
          </w:tcPr>
          <w:p w:rsidR="00BC51DB" w:rsidRPr="00BC51DB" w:rsidRDefault="00BC51DB" w:rsidP="006C4E99">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经济问题</w:t>
            </w: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6C4E99">
        <w:trPr>
          <w:trHeight w:val="977"/>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84180C">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产业创新的驱动因子及其实现路径</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2019</w:t>
            </w:r>
          </w:p>
        </w:tc>
        <w:tc>
          <w:tcPr>
            <w:tcW w:w="1499" w:type="dxa"/>
            <w:shd w:val="clear" w:color="auto" w:fill="auto"/>
            <w:vAlign w:val="center"/>
            <w:hideMark/>
          </w:tcPr>
          <w:p w:rsidR="00BC51DB" w:rsidRPr="00BC51DB" w:rsidRDefault="00BC51DB" w:rsidP="006C4E99">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产业创新研究</w:t>
            </w: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1104"/>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lastRenderedPageBreak/>
              <w:t>7</w:t>
            </w:r>
          </w:p>
        </w:tc>
        <w:tc>
          <w:tcPr>
            <w:tcW w:w="155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工商管理学院（</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教育中心）</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钱宏亮</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198703</w:t>
            </w:r>
          </w:p>
        </w:tc>
        <w:tc>
          <w:tcPr>
            <w:tcW w:w="1024" w:type="dxa"/>
            <w:vMerge w:val="restart"/>
            <w:shd w:val="clear" w:color="auto" w:fill="auto"/>
            <w:vAlign w:val="center"/>
            <w:hideMark/>
          </w:tcPr>
          <w:p w:rsidR="0084180C"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管理</w:t>
            </w:r>
          </w:p>
        </w:tc>
        <w:tc>
          <w:tcPr>
            <w:tcW w:w="1142" w:type="dxa"/>
            <w:vMerge w:val="restart"/>
            <w:shd w:val="clear" w:color="auto" w:fill="auto"/>
            <w:vAlign w:val="center"/>
            <w:hideMark/>
          </w:tcPr>
          <w:p w:rsidR="00BC51DB" w:rsidRPr="00BC51DB" w:rsidRDefault="00B70B32" w:rsidP="00BC51DB">
            <w:pPr>
              <w:widowControl/>
              <w:snapToGri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硕士</w:t>
            </w:r>
          </w:p>
        </w:tc>
        <w:tc>
          <w:tcPr>
            <w:tcW w:w="102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工商管理硕士</w:t>
            </w:r>
          </w:p>
        </w:tc>
        <w:tc>
          <w:tcPr>
            <w:tcW w:w="14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湖北苏商联合经贸集团有限公司</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民营企业</w:t>
            </w:r>
          </w:p>
        </w:tc>
        <w:tc>
          <w:tcPr>
            <w:tcW w:w="88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1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董事长</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12</w:t>
            </w:r>
            <w:r w:rsidRPr="00BC51DB">
              <w:rPr>
                <w:rFonts w:ascii="Times New Roman" w:eastAsia="宋体" w:hAnsi="Times New Roman" w:cs="Times New Roman"/>
                <w:kern w:val="0"/>
                <w:szCs w:val="21"/>
              </w:rPr>
              <w:t>年</w:t>
            </w:r>
          </w:p>
        </w:tc>
        <w:tc>
          <w:tcPr>
            <w:tcW w:w="3646" w:type="dxa"/>
            <w:vMerge w:val="restart"/>
            <w:shd w:val="clear" w:color="auto" w:fill="auto"/>
            <w:vAlign w:val="center"/>
            <w:hideMark/>
          </w:tcPr>
          <w:p w:rsidR="00BC51DB" w:rsidRPr="00BC51DB" w:rsidRDefault="00BC51DB" w:rsidP="00BC51DB">
            <w:pPr>
              <w:widowControl/>
              <w:snapToGrid w:val="0"/>
              <w:rPr>
                <w:rFonts w:ascii="Times New Roman" w:eastAsia="宋体" w:hAnsi="Times New Roman" w:cs="Times New Roman"/>
                <w:kern w:val="0"/>
                <w:szCs w:val="21"/>
              </w:rPr>
            </w:pPr>
            <w:r w:rsidRPr="00BC51DB">
              <w:rPr>
                <w:rFonts w:ascii="Times New Roman" w:eastAsia="宋体" w:hAnsi="Times New Roman" w:cs="Times New Roman"/>
                <w:kern w:val="0"/>
                <w:szCs w:val="21"/>
              </w:rPr>
              <w:t>2010</w:t>
            </w:r>
            <w:r w:rsidRPr="00BC51DB">
              <w:rPr>
                <w:rFonts w:ascii="Times New Roman" w:eastAsia="宋体" w:hAnsi="Times New Roman" w:cs="Times New Roman"/>
                <w:kern w:val="0"/>
                <w:szCs w:val="21"/>
              </w:rPr>
              <w:t>年大学毕业创办武汉迎浪贸易有限公司，主营流体设备销售，成功与宜化集团、兴发集团、中化六建等大型企业达成合作，并在当年实现营业收入过千万，利税过百万。</w:t>
            </w:r>
            <w:r w:rsidRPr="00BC51DB">
              <w:rPr>
                <w:rFonts w:ascii="Times New Roman" w:eastAsia="宋体" w:hAnsi="Times New Roman" w:cs="Times New Roman"/>
                <w:kern w:val="0"/>
                <w:szCs w:val="21"/>
              </w:rPr>
              <w:t>2016</w:t>
            </w:r>
            <w:r w:rsidRPr="00BC51DB">
              <w:rPr>
                <w:rFonts w:ascii="Times New Roman" w:eastAsia="宋体" w:hAnsi="Times New Roman" w:cs="Times New Roman"/>
                <w:kern w:val="0"/>
                <w:szCs w:val="21"/>
              </w:rPr>
              <w:t>年整合旗下资源成立湖北苏商联合经贸集团有限公司，业务涉及酒店管理、农产品开发、服装定制，信息化建设等，覆盖多个省份以及海外，尤其旗下电商平台</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商乐荟，为黄冈、恩施等地有效拓宽扶贫产品的销售渠道，实实在在地帮助贫困农民增收，助力当地打赢脱贫攻坚战。集团年营业额过亿元，利税近千万，并稳步增长。作为人社部认证国家创业培训师，近几年来，为湖北地市州人社部门培训有创业意愿的大学生、退役军人、返乡农民等人员近三百人，不仅使学员的就业观念发生转变，更激发了他们的创业意识，掌握创业技能，并增强微小企业抗风险能力，使学员在短时间内成为微小型企业的老板，还为他们部分人员争取到小额贷款扶持以及相关政策支持，有效的解决部分有志创业者创业时遇到的创业知识的缺乏和资金不足问题，受到了当地有关部门的表彰。作为荆楚苏商，积极发扬苏商精神、勇担社会责任，为商会对口扶贫点恩施州大坳村捐款捐物，帮助当地村民修路、建医疗室，积极通过旗下电商平台帮助村民销售黑猪、硒茶等农产品，助力脱贫攻坚。</w:t>
            </w:r>
            <w:r w:rsidRPr="00BC51DB">
              <w:rPr>
                <w:rFonts w:ascii="Times New Roman" w:eastAsia="宋体" w:hAnsi="Times New Roman" w:cs="Times New Roman"/>
                <w:kern w:val="0"/>
                <w:szCs w:val="21"/>
              </w:rPr>
              <w:t>2020</w:t>
            </w:r>
            <w:r w:rsidRPr="00BC51DB">
              <w:rPr>
                <w:rFonts w:ascii="Times New Roman" w:eastAsia="宋体" w:hAnsi="Times New Roman" w:cs="Times New Roman"/>
                <w:kern w:val="0"/>
                <w:szCs w:val="21"/>
              </w:rPr>
              <w:t>年武汉疫情期间，作为商会江苏援鄂医疗队服务保障领导小组一员，服务医护人员，采购水果、乳制品以及衣物等，参与组织物资采购，与商会同仁一起捐赠</w:t>
            </w:r>
            <w:r w:rsidRPr="00BC51DB">
              <w:rPr>
                <w:rFonts w:ascii="Times New Roman" w:eastAsia="宋体" w:hAnsi="Times New Roman" w:cs="Times New Roman"/>
                <w:kern w:val="0"/>
                <w:szCs w:val="21"/>
              </w:rPr>
              <w:t>12</w:t>
            </w:r>
            <w:r w:rsidRPr="00BC51DB">
              <w:rPr>
                <w:rFonts w:ascii="Times New Roman" w:eastAsia="宋体" w:hAnsi="Times New Roman" w:cs="Times New Roman"/>
                <w:kern w:val="0"/>
                <w:szCs w:val="21"/>
              </w:rPr>
              <w:t>吨酒精，</w:t>
            </w:r>
            <w:r w:rsidRPr="00BC51DB">
              <w:rPr>
                <w:rFonts w:ascii="Times New Roman" w:eastAsia="宋体" w:hAnsi="Times New Roman" w:cs="Times New Roman"/>
                <w:kern w:val="0"/>
                <w:szCs w:val="21"/>
              </w:rPr>
              <w:t>20</w:t>
            </w:r>
            <w:r w:rsidRPr="00BC51DB">
              <w:rPr>
                <w:rFonts w:ascii="Times New Roman" w:eastAsia="宋体" w:hAnsi="Times New Roman" w:cs="Times New Roman"/>
                <w:kern w:val="0"/>
                <w:szCs w:val="21"/>
              </w:rPr>
              <w:t>万副医用丁腈防护手套支援孝感抗疫，被湖北省工商联评为</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抗击新冠肺炎疫情突出贡献单位</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。以民建会员名义，积极出资建设支部</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会员之家</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，并以民建支部名义向黄冈市麻城贫困村捐款捐物。读研期间，被中国</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联盟评为</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新锐</w:t>
            </w:r>
            <w:r w:rsidRPr="00BC51DB">
              <w:rPr>
                <w:rFonts w:ascii="Times New Roman" w:eastAsia="宋体" w:hAnsi="Times New Roman" w:cs="Times New Roman"/>
                <w:kern w:val="0"/>
                <w:szCs w:val="21"/>
              </w:rPr>
              <w:t>100”</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优秀</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干部</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；被中南财经政法大学工商管理学院评为</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优秀联合会干部</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并于</w:t>
            </w:r>
            <w:r w:rsidRPr="00BC51DB">
              <w:rPr>
                <w:rFonts w:ascii="Times New Roman" w:eastAsia="宋体" w:hAnsi="Times New Roman" w:cs="Times New Roman"/>
                <w:kern w:val="0"/>
                <w:szCs w:val="21"/>
              </w:rPr>
              <w:t>2019</w:t>
            </w:r>
            <w:r w:rsidRPr="00BC51DB">
              <w:rPr>
                <w:rFonts w:ascii="Times New Roman" w:eastAsia="宋体" w:hAnsi="Times New Roman" w:cs="Times New Roman"/>
                <w:kern w:val="0"/>
                <w:szCs w:val="21"/>
              </w:rPr>
              <w:t>年获得楚天都市报评选</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湖北杰出青年企业家</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，民建黄冈师范总支</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优秀会员</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等荣誉称号。</w:t>
            </w:r>
          </w:p>
        </w:tc>
        <w:tc>
          <w:tcPr>
            <w:tcW w:w="1936" w:type="dxa"/>
            <w:shd w:val="clear" w:color="auto" w:fill="auto"/>
            <w:noWrap/>
            <w:vAlign w:val="bottom"/>
          </w:tcPr>
          <w:p w:rsidR="00BC51DB" w:rsidRPr="00BC51DB" w:rsidRDefault="00BC51DB" w:rsidP="00BC51DB">
            <w:pPr>
              <w:widowControl/>
              <w:snapToGrid w:val="0"/>
              <w:jc w:val="left"/>
              <w:rPr>
                <w:rFonts w:ascii="Times New Roman" w:eastAsia="宋体" w:hAnsi="Times New Roman" w:cs="Times New Roman"/>
                <w:b/>
                <w:bCs/>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11958"/>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rPr>
                <w:rFonts w:ascii="Times New Roman" w:eastAsia="宋体" w:hAnsi="Times New Roman" w:cs="Times New Roman"/>
                <w:kern w:val="0"/>
                <w:szCs w:val="21"/>
              </w:rPr>
            </w:pPr>
          </w:p>
        </w:tc>
        <w:tc>
          <w:tcPr>
            <w:tcW w:w="1936"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8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499"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c>
          <w:tcPr>
            <w:tcW w:w="1282" w:type="dxa"/>
            <w:shd w:val="clear" w:color="auto" w:fill="auto"/>
            <w:vAlign w:val="center"/>
          </w:tcPr>
          <w:p w:rsidR="00BC51DB" w:rsidRPr="00BC51DB" w:rsidRDefault="00BC51DB" w:rsidP="00BC51DB">
            <w:pPr>
              <w:widowControl/>
              <w:snapToGrid w:val="0"/>
              <w:jc w:val="center"/>
              <w:rPr>
                <w:rFonts w:ascii="Times New Roman" w:eastAsia="宋体" w:hAnsi="Times New Roman" w:cs="Times New Roman"/>
                <w:kern w:val="0"/>
                <w:szCs w:val="21"/>
              </w:rPr>
            </w:pPr>
          </w:p>
        </w:tc>
      </w:tr>
      <w:tr w:rsidR="00BC51DB" w:rsidRPr="00BC51DB" w:rsidTr="0084180C">
        <w:trPr>
          <w:trHeight w:val="285"/>
          <w:jc w:val="center"/>
        </w:trPr>
        <w:tc>
          <w:tcPr>
            <w:tcW w:w="42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lastRenderedPageBreak/>
              <w:t>8</w:t>
            </w:r>
          </w:p>
        </w:tc>
        <w:tc>
          <w:tcPr>
            <w:tcW w:w="155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工商管理学院（</w:t>
            </w:r>
            <w:r w:rsidRPr="00BC51DB">
              <w:rPr>
                <w:rFonts w:ascii="Times New Roman" w:eastAsia="宋体" w:hAnsi="Times New Roman" w:cs="Times New Roman"/>
                <w:kern w:val="0"/>
                <w:szCs w:val="21"/>
              </w:rPr>
              <w:t>MBA</w:t>
            </w:r>
            <w:r w:rsidRPr="00BC51DB">
              <w:rPr>
                <w:rFonts w:ascii="Times New Roman" w:eastAsia="宋体" w:hAnsi="Times New Roman" w:cs="Times New Roman"/>
                <w:kern w:val="0"/>
                <w:szCs w:val="21"/>
              </w:rPr>
              <w:t>教育中心）</w:t>
            </w:r>
          </w:p>
        </w:tc>
        <w:tc>
          <w:tcPr>
            <w:tcW w:w="904"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郑伟</w:t>
            </w:r>
          </w:p>
        </w:tc>
        <w:tc>
          <w:tcPr>
            <w:tcW w:w="1241"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19770916</w:t>
            </w:r>
          </w:p>
        </w:tc>
        <w:tc>
          <w:tcPr>
            <w:tcW w:w="1024" w:type="dxa"/>
            <w:vMerge w:val="restart"/>
            <w:shd w:val="clear" w:color="auto" w:fill="auto"/>
            <w:vAlign w:val="center"/>
            <w:hideMark/>
          </w:tcPr>
          <w:p w:rsidR="0084180C"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工商</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管理</w:t>
            </w:r>
          </w:p>
        </w:tc>
        <w:tc>
          <w:tcPr>
            <w:tcW w:w="1142" w:type="dxa"/>
            <w:vMerge w:val="restart"/>
            <w:shd w:val="clear" w:color="auto" w:fill="auto"/>
            <w:vAlign w:val="center"/>
            <w:hideMark/>
          </w:tcPr>
          <w:p w:rsidR="0084180C"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博士</w:t>
            </w:r>
          </w:p>
          <w:p w:rsidR="00BC51DB" w:rsidRPr="00BC51DB" w:rsidRDefault="00BC51DB" w:rsidP="00BC51DB">
            <w:pPr>
              <w:widowControl/>
              <w:snapToGrid w:val="0"/>
              <w:jc w:val="center"/>
              <w:rPr>
                <w:rFonts w:ascii="Times New Roman" w:eastAsia="宋体" w:hAnsi="Times New Roman" w:cs="Times New Roman"/>
                <w:kern w:val="0"/>
                <w:szCs w:val="21"/>
              </w:rPr>
            </w:pPr>
            <w:bookmarkStart w:id="0" w:name="_GoBack"/>
            <w:bookmarkEnd w:id="0"/>
          </w:p>
        </w:tc>
        <w:tc>
          <w:tcPr>
            <w:tcW w:w="1024" w:type="dxa"/>
            <w:vMerge w:val="restart"/>
            <w:shd w:val="clear" w:color="auto" w:fill="auto"/>
            <w:vAlign w:val="center"/>
            <w:hideMark/>
          </w:tcPr>
          <w:p w:rsidR="00BC51DB" w:rsidRPr="00BC51DB" w:rsidRDefault="00E9168B" w:rsidP="00BC51DB">
            <w:pPr>
              <w:widowControl/>
              <w:snapToGrid w:val="0"/>
              <w:jc w:val="center"/>
              <w:rPr>
                <w:rFonts w:ascii="Times New Roman" w:eastAsia="宋体" w:hAnsi="Times New Roman" w:cs="Times New Roman"/>
                <w:kern w:val="0"/>
                <w:szCs w:val="21"/>
              </w:rPr>
            </w:pPr>
            <w:r>
              <w:rPr>
                <w:rFonts w:hint="eastAsia"/>
                <w:sz w:val="24"/>
              </w:rPr>
              <w:t>工商管理</w:t>
            </w:r>
          </w:p>
        </w:tc>
        <w:tc>
          <w:tcPr>
            <w:tcW w:w="1416" w:type="dxa"/>
            <w:vMerge w:val="restart"/>
            <w:shd w:val="clear" w:color="auto" w:fill="auto"/>
            <w:vAlign w:val="center"/>
            <w:hideMark/>
          </w:tcPr>
          <w:p w:rsidR="0084180C"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武汉楚为</w:t>
            </w:r>
          </w:p>
          <w:p w:rsidR="0084180C"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生物科技</w:t>
            </w:r>
          </w:p>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有限公司</w:t>
            </w:r>
          </w:p>
        </w:tc>
        <w:tc>
          <w:tcPr>
            <w:tcW w:w="1673"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民营企业</w:t>
            </w:r>
          </w:p>
        </w:tc>
        <w:tc>
          <w:tcPr>
            <w:tcW w:w="887"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高级农艺师</w:t>
            </w:r>
          </w:p>
        </w:tc>
        <w:tc>
          <w:tcPr>
            <w:tcW w:w="1116"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董事长</w:t>
            </w:r>
          </w:p>
        </w:tc>
        <w:tc>
          <w:tcPr>
            <w:tcW w:w="729" w:type="dxa"/>
            <w:vMerge w:val="restart"/>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21</w:t>
            </w:r>
            <w:r w:rsidRPr="00BC51DB">
              <w:rPr>
                <w:rFonts w:ascii="Times New Roman" w:eastAsia="宋体" w:hAnsi="Times New Roman" w:cs="Times New Roman"/>
                <w:kern w:val="0"/>
                <w:szCs w:val="21"/>
              </w:rPr>
              <w:t>年</w:t>
            </w:r>
          </w:p>
        </w:tc>
        <w:tc>
          <w:tcPr>
            <w:tcW w:w="3646" w:type="dxa"/>
            <w:vMerge w:val="restart"/>
            <w:shd w:val="clear" w:color="auto" w:fill="auto"/>
            <w:vAlign w:val="center"/>
            <w:hideMark/>
          </w:tcPr>
          <w:p w:rsidR="00BC51DB" w:rsidRPr="00BC51DB" w:rsidRDefault="00BC51DB" w:rsidP="00577F28">
            <w:pPr>
              <w:widowControl/>
              <w:snapToGrid w:val="0"/>
              <w:ind w:firstLineChars="200" w:firstLine="420"/>
              <w:rPr>
                <w:rFonts w:ascii="Times New Roman" w:eastAsia="宋体" w:hAnsi="Times New Roman" w:cs="Times New Roman"/>
                <w:kern w:val="0"/>
                <w:szCs w:val="21"/>
              </w:rPr>
            </w:pPr>
            <w:r w:rsidRPr="00BC51DB">
              <w:rPr>
                <w:rFonts w:ascii="Times New Roman" w:eastAsia="宋体" w:hAnsi="Times New Roman" w:cs="Times New Roman"/>
                <w:kern w:val="0"/>
                <w:szCs w:val="21"/>
              </w:rPr>
              <w:t>2018</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9</w:t>
            </w:r>
            <w:r w:rsidRPr="00BC51DB">
              <w:rPr>
                <w:rFonts w:ascii="Times New Roman" w:eastAsia="宋体" w:hAnsi="Times New Roman" w:cs="Times New Roman"/>
                <w:kern w:val="0"/>
                <w:szCs w:val="21"/>
              </w:rPr>
              <w:t>月，在山东寿光水灾后的重建工作中，郑伟同志组织公司在受损</w:t>
            </w:r>
            <w:r w:rsidRPr="00BC51DB">
              <w:rPr>
                <w:rFonts w:ascii="Times New Roman" w:eastAsia="宋体" w:hAnsi="Times New Roman" w:cs="Times New Roman"/>
                <w:kern w:val="0"/>
                <w:szCs w:val="21"/>
              </w:rPr>
              <w:t>7800</w:t>
            </w:r>
            <w:r w:rsidRPr="00BC51DB">
              <w:rPr>
                <w:rFonts w:ascii="Times New Roman" w:eastAsia="宋体" w:hAnsi="Times New Roman" w:cs="Times New Roman"/>
                <w:kern w:val="0"/>
                <w:szCs w:val="21"/>
              </w:rPr>
              <w:t>多个温室大棚的田柳村爱心捐赠钱款，并安排技术老师到田间技术指导</w:t>
            </w:r>
            <w:r w:rsidRPr="00BC51DB">
              <w:rPr>
                <w:rFonts w:ascii="Times New Roman" w:eastAsia="宋体" w:hAnsi="Times New Roman" w:cs="Times New Roman"/>
                <w:kern w:val="0"/>
                <w:szCs w:val="21"/>
              </w:rPr>
              <w:t>1</w:t>
            </w:r>
            <w:r w:rsidRPr="00BC51DB">
              <w:rPr>
                <w:rFonts w:ascii="Times New Roman" w:eastAsia="宋体" w:hAnsi="Times New Roman" w:cs="Times New Roman"/>
                <w:kern w:val="0"/>
                <w:szCs w:val="21"/>
              </w:rPr>
              <w:t>个多月，以抚慰受伤的农民，帮助他们拾回信心。</w:t>
            </w:r>
            <w:r w:rsidRPr="00BC51DB">
              <w:rPr>
                <w:rFonts w:ascii="Times New Roman" w:eastAsia="宋体" w:hAnsi="Times New Roman" w:cs="Times New Roman"/>
                <w:kern w:val="0"/>
                <w:szCs w:val="21"/>
              </w:rPr>
              <w:br/>
            </w:r>
            <w:r w:rsidR="00577F28">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2020</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2</w:t>
            </w:r>
            <w:r w:rsidRPr="00BC51DB">
              <w:rPr>
                <w:rFonts w:ascii="Times New Roman" w:eastAsia="宋体" w:hAnsi="Times New Roman" w:cs="Times New Roman"/>
                <w:kern w:val="0"/>
                <w:szCs w:val="21"/>
              </w:rPr>
              <w:t>月，新冠疫情期间，郑伟同志身先士卒，带头发扬</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一方有难八方支援</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的精神，郑伟同志个人捐赠</w:t>
            </w:r>
            <w:r w:rsidRPr="00BC51DB">
              <w:rPr>
                <w:rFonts w:ascii="Times New Roman" w:eastAsia="宋体" w:hAnsi="Times New Roman" w:cs="Times New Roman"/>
                <w:kern w:val="0"/>
                <w:szCs w:val="21"/>
              </w:rPr>
              <w:t>2</w:t>
            </w:r>
            <w:r w:rsidRPr="00BC51DB">
              <w:rPr>
                <w:rFonts w:ascii="Times New Roman" w:eastAsia="宋体" w:hAnsi="Times New Roman" w:cs="Times New Roman"/>
                <w:kern w:val="0"/>
                <w:szCs w:val="21"/>
              </w:rPr>
              <w:t>万元，并组织公司及同事捐赠</w:t>
            </w:r>
            <w:r w:rsidRPr="00BC51DB">
              <w:rPr>
                <w:rFonts w:ascii="Times New Roman" w:eastAsia="宋体" w:hAnsi="Times New Roman" w:cs="Times New Roman"/>
                <w:kern w:val="0"/>
                <w:szCs w:val="21"/>
              </w:rPr>
              <w:t>21888</w:t>
            </w:r>
            <w:r w:rsidRPr="00BC51DB">
              <w:rPr>
                <w:rFonts w:ascii="Times New Roman" w:eastAsia="宋体" w:hAnsi="Times New Roman" w:cs="Times New Roman"/>
                <w:kern w:val="0"/>
                <w:szCs w:val="21"/>
              </w:rPr>
              <w:t>元，用于支持湖北省新冠肺炎疫情防控工作。</w:t>
            </w:r>
            <w:r w:rsidRPr="00BC51DB">
              <w:rPr>
                <w:rFonts w:ascii="Times New Roman" w:eastAsia="宋体" w:hAnsi="Times New Roman" w:cs="Times New Roman"/>
                <w:kern w:val="0"/>
                <w:szCs w:val="21"/>
              </w:rPr>
              <w:br/>
            </w:r>
            <w:r w:rsidR="00577F28">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2020</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3</w:t>
            </w:r>
            <w:r w:rsidRPr="00BC51DB">
              <w:rPr>
                <w:rFonts w:ascii="Times New Roman" w:eastAsia="宋体" w:hAnsi="Times New Roman" w:cs="Times New Roman"/>
                <w:kern w:val="0"/>
                <w:szCs w:val="21"/>
              </w:rPr>
              <w:t>月，正值</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抗疫情，保春耕</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的关键时期，郑伟同志组织公司举办大型网络助农活动，在活动中以部分现金和高价值的蔬菜种子等方式，送出价值</w:t>
            </w:r>
            <w:r w:rsidRPr="00BC51DB">
              <w:rPr>
                <w:rFonts w:ascii="Times New Roman" w:eastAsia="宋体" w:hAnsi="Times New Roman" w:cs="Times New Roman"/>
                <w:kern w:val="0"/>
                <w:szCs w:val="21"/>
              </w:rPr>
              <w:t>16</w:t>
            </w:r>
            <w:r w:rsidRPr="00BC51DB">
              <w:rPr>
                <w:rFonts w:ascii="Times New Roman" w:eastAsia="宋体" w:hAnsi="Times New Roman" w:cs="Times New Roman"/>
                <w:kern w:val="0"/>
                <w:szCs w:val="21"/>
              </w:rPr>
              <w:t>万元的物资，以供应和保障广大种植户的春耕生产。</w:t>
            </w:r>
            <w:r w:rsidRPr="00BC51DB">
              <w:rPr>
                <w:rFonts w:ascii="Times New Roman" w:eastAsia="宋体" w:hAnsi="Times New Roman" w:cs="Times New Roman"/>
                <w:kern w:val="0"/>
                <w:szCs w:val="21"/>
              </w:rPr>
              <w:br/>
            </w:r>
            <w:r w:rsidR="00577F28">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2019</w:t>
            </w:r>
            <w:r w:rsidRPr="00BC51DB">
              <w:rPr>
                <w:rFonts w:ascii="Times New Roman" w:eastAsia="宋体" w:hAnsi="Times New Roman" w:cs="Times New Roman"/>
                <w:kern w:val="0"/>
                <w:szCs w:val="21"/>
              </w:rPr>
              <w:t>年，参与研究的</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茄果类蔬菜分子育种技术创新及新品种选育</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科研项目荣获</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国家科技进步二等奖</w:t>
            </w:r>
            <w:r w:rsidRPr="00BC51DB">
              <w:rPr>
                <w:rFonts w:ascii="Times New Roman" w:eastAsia="宋体" w:hAnsi="Times New Roman" w:cs="Times New Roman"/>
                <w:kern w:val="0"/>
                <w:szCs w:val="21"/>
              </w:rPr>
              <w:t>”</w:t>
            </w:r>
            <w:r w:rsidR="00577F28">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r>
            <w:r w:rsidR="00577F28">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2021</w:t>
            </w:r>
            <w:r w:rsidRPr="00BC51DB">
              <w:rPr>
                <w:rFonts w:ascii="Times New Roman" w:eastAsia="宋体" w:hAnsi="Times New Roman" w:cs="Times New Roman"/>
                <w:kern w:val="0"/>
                <w:szCs w:val="21"/>
              </w:rPr>
              <w:t>年，研究的</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番茄分子育种技术研发和优质多抗新品种选育与推广</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项目入选了第十三批</w:t>
            </w:r>
            <w:r w:rsidRPr="00BC51DB">
              <w:rPr>
                <w:rFonts w:ascii="Times New Roman" w:eastAsia="宋体" w:hAnsi="Times New Roman" w:cs="Times New Roman"/>
                <w:kern w:val="0"/>
                <w:szCs w:val="21"/>
              </w:rPr>
              <w:t>“3551</w:t>
            </w:r>
            <w:r w:rsidRPr="00BC51DB">
              <w:rPr>
                <w:rFonts w:ascii="Times New Roman" w:eastAsia="宋体" w:hAnsi="Times New Roman" w:cs="Times New Roman"/>
                <w:kern w:val="0"/>
                <w:szCs w:val="21"/>
              </w:rPr>
              <w:t>光谷人才计划</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，同时郑伟同志也被入选为</w:t>
            </w:r>
            <w:r w:rsidRPr="00BC51DB">
              <w:rPr>
                <w:rFonts w:ascii="Times New Roman" w:eastAsia="宋体" w:hAnsi="Times New Roman" w:cs="Times New Roman"/>
                <w:kern w:val="0"/>
                <w:szCs w:val="21"/>
              </w:rPr>
              <w:t>“3551</w:t>
            </w:r>
            <w:r w:rsidRPr="00BC51DB">
              <w:rPr>
                <w:rFonts w:ascii="Times New Roman" w:eastAsia="宋体" w:hAnsi="Times New Roman" w:cs="Times New Roman"/>
                <w:kern w:val="0"/>
                <w:szCs w:val="21"/>
              </w:rPr>
              <w:t>光谷人才计划</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创业人才</w:t>
            </w:r>
            <w:r w:rsidR="00577F28">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r>
            <w:r w:rsidR="00577F28">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2021</w:t>
            </w:r>
            <w:r w:rsidRPr="00BC51DB">
              <w:rPr>
                <w:rFonts w:ascii="Times New Roman" w:eastAsia="宋体" w:hAnsi="Times New Roman" w:cs="Times New Roman"/>
                <w:kern w:val="0"/>
                <w:szCs w:val="21"/>
              </w:rPr>
              <w:t>年，参与的</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茄果类蔬菜新品种及配套技术示范推广</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项目荣获</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湖北省科学技术成果推广二等奖</w:t>
            </w:r>
            <w:r w:rsidRPr="00BC51DB">
              <w:rPr>
                <w:rFonts w:ascii="Times New Roman" w:eastAsia="宋体" w:hAnsi="Times New Roman" w:cs="Times New Roman"/>
                <w:kern w:val="0"/>
                <w:szCs w:val="21"/>
              </w:rPr>
              <w:t>”</w:t>
            </w:r>
            <w:r w:rsidR="00577F28">
              <w:rPr>
                <w:rFonts w:ascii="Times New Roman" w:eastAsia="宋体" w:hAnsi="Times New Roman" w:cs="Times New Roman" w:hint="eastAsia"/>
                <w:kern w:val="0"/>
                <w:szCs w:val="21"/>
              </w:rPr>
              <w:t>。</w:t>
            </w:r>
            <w:r w:rsidRPr="00BC51DB">
              <w:rPr>
                <w:rFonts w:ascii="Times New Roman" w:eastAsia="宋体" w:hAnsi="Times New Roman" w:cs="Times New Roman"/>
                <w:kern w:val="0"/>
                <w:szCs w:val="21"/>
              </w:rPr>
              <w:br/>
            </w:r>
            <w:r w:rsidR="00577F28">
              <w:rPr>
                <w:rFonts w:ascii="Times New Roman" w:eastAsia="宋体" w:hAnsi="Times New Roman" w:cs="Times New Roman"/>
                <w:kern w:val="0"/>
                <w:szCs w:val="21"/>
              </w:rPr>
              <w:t xml:space="preserve">   </w:t>
            </w:r>
            <w:r w:rsidRPr="00BC51DB">
              <w:rPr>
                <w:rFonts w:ascii="Times New Roman" w:eastAsia="宋体" w:hAnsi="Times New Roman" w:cs="Times New Roman"/>
                <w:kern w:val="0"/>
                <w:szCs w:val="21"/>
              </w:rPr>
              <w:t>2021</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6</w:t>
            </w:r>
            <w:r w:rsidRPr="00BC51DB">
              <w:rPr>
                <w:rFonts w:ascii="Times New Roman" w:eastAsia="宋体" w:hAnsi="Times New Roman" w:cs="Times New Roman"/>
                <w:kern w:val="0"/>
                <w:szCs w:val="21"/>
              </w:rPr>
              <w:t>月，荣获</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洪山区优秀党员</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称号。</w:t>
            </w:r>
            <w:r w:rsidRPr="00BC51DB">
              <w:rPr>
                <w:rFonts w:ascii="Times New Roman" w:eastAsia="宋体" w:hAnsi="Times New Roman" w:cs="Times New Roman"/>
                <w:kern w:val="0"/>
                <w:szCs w:val="21"/>
              </w:rPr>
              <w:br/>
              <w:t xml:space="preserve">    2016</w:t>
            </w:r>
            <w:r w:rsidRPr="00BC51DB">
              <w:rPr>
                <w:rFonts w:ascii="Times New Roman" w:eastAsia="宋体" w:hAnsi="Times New Roman" w:cs="Times New Roman"/>
                <w:kern w:val="0"/>
                <w:szCs w:val="21"/>
              </w:rPr>
              <w:t>年</w:t>
            </w:r>
            <w:r w:rsidRPr="00BC51DB">
              <w:rPr>
                <w:rFonts w:ascii="Times New Roman" w:eastAsia="宋体" w:hAnsi="Times New Roman" w:cs="Times New Roman"/>
                <w:kern w:val="0"/>
                <w:szCs w:val="21"/>
              </w:rPr>
              <w:t>—2021</w:t>
            </w:r>
            <w:r w:rsidRPr="00BC51DB">
              <w:rPr>
                <w:rFonts w:ascii="Times New Roman" w:eastAsia="宋体" w:hAnsi="Times New Roman" w:cs="Times New Roman"/>
                <w:kern w:val="0"/>
                <w:szCs w:val="21"/>
              </w:rPr>
              <w:t>年推广品种累计种植面积</w:t>
            </w:r>
            <w:r w:rsidRPr="00BC51DB">
              <w:rPr>
                <w:rFonts w:ascii="Times New Roman" w:eastAsia="宋体" w:hAnsi="Times New Roman" w:cs="Times New Roman"/>
                <w:kern w:val="0"/>
                <w:szCs w:val="21"/>
              </w:rPr>
              <w:t>100</w:t>
            </w:r>
            <w:r w:rsidRPr="00BC51DB">
              <w:rPr>
                <w:rFonts w:ascii="Times New Roman" w:eastAsia="宋体" w:hAnsi="Times New Roman" w:cs="Times New Roman"/>
                <w:kern w:val="0"/>
                <w:szCs w:val="21"/>
              </w:rPr>
              <w:t>万亩，农民产值</w:t>
            </w:r>
            <w:r w:rsidRPr="00BC51DB">
              <w:rPr>
                <w:rFonts w:ascii="Times New Roman" w:eastAsia="宋体" w:hAnsi="Times New Roman" w:cs="Times New Roman"/>
                <w:kern w:val="0"/>
                <w:szCs w:val="21"/>
              </w:rPr>
              <w:t>159.8</w:t>
            </w:r>
            <w:r w:rsidRPr="00BC51DB">
              <w:rPr>
                <w:rFonts w:ascii="Times New Roman" w:eastAsia="宋体" w:hAnsi="Times New Roman" w:cs="Times New Roman"/>
                <w:kern w:val="0"/>
                <w:szCs w:val="21"/>
              </w:rPr>
              <w:t>亿元，帮助农民增收</w:t>
            </w:r>
            <w:r w:rsidRPr="00BC51DB">
              <w:rPr>
                <w:rFonts w:ascii="Times New Roman" w:eastAsia="宋体" w:hAnsi="Times New Roman" w:cs="Times New Roman"/>
                <w:kern w:val="0"/>
                <w:szCs w:val="21"/>
              </w:rPr>
              <w:t>20.32</w:t>
            </w:r>
            <w:r w:rsidRPr="00BC51DB">
              <w:rPr>
                <w:rFonts w:ascii="Times New Roman" w:eastAsia="宋体" w:hAnsi="Times New Roman" w:cs="Times New Roman"/>
                <w:kern w:val="0"/>
                <w:szCs w:val="21"/>
              </w:rPr>
              <w:t>亿元，市场反馈良好。</w:t>
            </w:r>
          </w:p>
        </w:tc>
        <w:tc>
          <w:tcPr>
            <w:tcW w:w="1936"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《中国农户番茄生产行为研究》</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2019</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吉林大学出版社发表专著</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学术著作</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《番茄主产区农户生产投入产出调查分析》</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2019</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农村经济与科技杂志（刊号：</w:t>
            </w:r>
            <w:r w:rsidRPr="00BC51DB">
              <w:rPr>
                <w:rFonts w:ascii="Times New Roman" w:eastAsia="宋体" w:hAnsi="Times New Roman" w:cs="Times New Roman"/>
                <w:kern w:val="0"/>
                <w:szCs w:val="21"/>
              </w:rPr>
              <w:t>CN42-1374/S ISSN1007-7103</w:t>
            </w:r>
            <w:r w:rsidRPr="00BC51DB">
              <w:rPr>
                <w:rFonts w:ascii="Times New Roman" w:eastAsia="宋体" w:hAnsi="Times New Roman" w:cs="Times New Roman"/>
                <w:kern w:val="0"/>
                <w:szCs w:val="21"/>
              </w:rPr>
              <w:t>）上发表</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学术论文</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《精品粉果番茄新品种吉诺比利》</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2018</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中国蔬菜</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学术论文</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《高品质露地越冬甘蓝新品种楚甘</w:t>
            </w:r>
            <w:r w:rsidRPr="00BC51DB">
              <w:rPr>
                <w:rFonts w:ascii="Times New Roman" w:eastAsia="宋体" w:hAnsi="Times New Roman" w:cs="Times New Roman"/>
                <w:kern w:val="0"/>
                <w:szCs w:val="21"/>
              </w:rPr>
              <w:t>662</w:t>
            </w:r>
            <w:r w:rsidRPr="00BC51DB">
              <w:rPr>
                <w:rFonts w:ascii="Times New Roman" w:eastAsia="宋体" w:hAnsi="Times New Roman" w:cs="Times New Roman"/>
                <w:kern w:val="0"/>
                <w:szCs w:val="21"/>
              </w:rPr>
              <w:t>》</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2018</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长江蔬菜</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学术论文</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《适合越冬及早春栽培的番茄新品种楚为</w:t>
            </w:r>
            <w:r w:rsidRPr="00BC51DB">
              <w:rPr>
                <w:rFonts w:ascii="Times New Roman" w:eastAsia="宋体" w:hAnsi="Times New Roman" w:cs="Times New Roman"/>
                <w:kern w:val="0"/>
                <w:szCs w:val="21"/>
              </w:rPr>
              <w:t>S350</w:t>
            </w:r>
            <w:r w:rsidRPr="00BC51DB">
              <w:rPr>
                <w:rFonts w:ascii="Times New Roman" w:eastAsia="宋体" w:hAnsi="Times New Roman" w:cs="Times New Roman"/>
                <w:kern w:val="0"/>
                <w:szCs w:val="21"/>
              </w:rPr>
              <w:t>》</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2018</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长江蔬菜</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学术论文</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《物以稀为贵</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唯有</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希唯美</w:t>
            </w: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2019</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长江蔬菜</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学术论文</w:t>
            </w:r>
          </w:p>
        </w:tc>
      </w:tr>
      <w:tr w:rsidR="00BC51DB" w:rsidRPr="00BC51DB" w:rsidTr="0084180C">
        <w:trPr>
          <w:trHeight w:val="175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84180C">
            <w:pPr>
              <w:widowControl/>
              <w:snapToGrid w:val="0"/>
              <w:ind w:rightChars="-24" w:right="-5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Biosynthetic Gene Pyramiding Leads to Ascorbate Accumulation with Enhanced Oxidative Stress Tolerance in Tomato</w:t>
            </w:r>
            <w:r w:rsidRPr="00BC51DB">
              <w:rPr>
                <w:rFonts w:ascii="Times New Roman" w:eastAsia="宋体" w:hAnsi="Times New Roman" w:cs="Times New Roman"/>
                <w:kern w:val="0"/>
                <w:szCs w:val="21"/>
              </w:rPr>
              <w:t>》</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2019</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International Journal of Molecular Sciences</w:t>
            </w:r>
            <w:r w:rsidRPr="00BC51DB">
              <w:rPr>
                <w:rFonts w:ascii="Times New Roman" w:eastAsia="宋体" w:hAnsi="Times New Roman" w:cs="Times New Roman"/>
                <w:kern w:val="0"/>
                <w:szCs w:val="21"/>
              </w:rPr>
              <w:t>》</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学术论文</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84180C">
            <w:pPr>
              <w:widowControl/>
              <w:snapToGrid w:val="0"/>
              <w:ind w:rightChars="-24" w:right="-5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Development of a highly specific co-dominant marker for genotyping the Ph-3 (tomato late blight resistance) locus by comparing cultivated and wild ancestor species</w:t>
            </w:r>
            <w:r w:rsidRPr="00BC51DB">
              <w:rPr>
                <w:rFonts w:ascii="Times New Roman" w:eastAsia="宋体" w:hAnsi="Times New Roman" w:cs="Times New Roman"/>
                <w:kern w:val="0"/>
                <w:szCs w:val="21"/>
              </w:rPr>
              <w:t>》</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2019</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Molecular Breeding</w:t>
            </w:r>
            <w:r w:rsidRPr="00BC51DB">
              <w:rPr>
                <w:rFonts w:ascii="Times New Roman" w:eastAsia="宋体" w:hAnsi="Times New Roman" w:cs="Times New Roman"/>
                <w:kern w:val="0"/>
                <w:szCs w:val="21"/>
              </w:rPr>
              <w:t>》</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学术论文</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84180C">
            <w:pPr>
              <w:widowControl/>
              <w:snapToGrid w:val="0"/>
              <w:ind w:rightChars="-24" w:right="-5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Genome-wide analysis of Myo-inositol oxygenase gene family in tomato reveals their involvement in ascorbic acid accumulation</w:t>
            </w:r>
            <w:r w:rsidRPr="00BC51DB">
              <w:rPr>
                <w:rFonts w:ascii="Times New Roman" w:eastAsia="宋体" w:hAnsi="Times New Roman" w:cs="Times New Roman"/>
                <w:kern w:val="0"/>
                <w:szCs w:val="21"/>
              </w:rPr>
              <w:t>》</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2020</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w:t>
            </w:r>
            <w:r w:rsidRPr="00BC51DB">
              <w:rPr>
                <w:rFonts w:ascii="Times New Roman" w:eastAsia="宋体" w:hAnsi="Times New Roman" w:cs="Times New Roman"/>
                <w:kern w:val="0"/>
                <w:szCs w:val="21"/>
              </w:rPr>
              <w:t>Munir et al. BMC Genomics</w:t>
            </w:r>
            <w:r w:rsidRPr="00BC51DB">
              <w:rPr>
                <w:rFonts w:ascii="Times New Roman" w:eastAsia="宋体" w:hAnsi="Times New Roman" w:cs="Times New Roman"/>
                <w:kern w:val="0"/>
                <w:szCs w:val="21"/>
              </w:rPr>
              <w:t>》</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学术论文</w:t>
            </w:r>
          </w:p>
        </w:tc>
      </w:tr>
      <w:tr w:rsidR="00BC51DB" w:rsidRPr="00BC51DB" w:rsidTr="0084180C">
        <w:trPr>
          <w:trHeight w:val="480"/>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《高品质广适番茄新品种中试与示范》</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2020</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湖北省科技厅</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科研项目</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《番茄分子标记育种技术开发及优质多抗新品种选育与推广》</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2020</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科技部</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科研项目</w:t>
            </w:r>
          </w:p>
        </w:tc>
      </w:tr>
      <w:tr w:rsidR="00BC51DB" w:rsidRPr="00BC51DB" w:rsidTr="0084180C">
        <w:trPr>
          <w:trHeight w:val="285"/>
          <w:jc w:val="center"/>
        </w:trPr>
        <w:tc>
          <w:tcPr>
            <w:tcW w:w="42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55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90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241"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42"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024"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4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673"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887"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11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729"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3646" w:type="dxa"/>
            <w:vMerge/>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p>
        </w:tc>
        <w:tc>
          <w:tcPr>
            <w:tcW w:w="1936" w:type="dxa"/>
            <w:shd w:val="clear" w:color="auto" w:fill="auto"/>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《番茄抗性分钟标记的开发及高品质多抗新品种选育》</w:t>
            </w:r>
          </w:p>
        </w:tc>
        <w:tc>
          <w:tcPr>
            <w:tcW w:w="8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2021</w:t>
            </w:r>
            <w:r w:rsidRPr="00BC51DB">
              <w:rPr>
                <w:rFonts w:ascii="Times New Roman" w:eastAsia="宋体" w:hAnsi="Times New Roman" w:cs="Times New Roman"/>
                <w:kern w:val="0"/>
                <w:szCs w:val="21"/>
              </w:rPr>
              <w:t>年</w:t>
            </w:r>
          </w:p>
        </w:tc>
        <w:tc>
          <w:tcPr>
            <w:tcW w:w="1499" w:type="dxa"/>
            <w:shd w:val="clear" w:color="auto" w:fill="auto"/>
            <w:vAlign w:val="center"/>
            <w:hideMark/>
          </w:tcPr>
          <w:p w:rsidR="00BC51DB" w:rsidRPr="00BC51DB" w:rsidRDefault="00BC51DB" w:rsidP="00BC51DB">
            <w:pPr>
              <w:widowControl/>
              <w:snapToGrid w:val="0"/>
              <w:jc w:val="center"/>
              <w:rPr>
                <w:rFonts w:ascii="Times New Roman" w:eastAsia="宋体" w:hAnsi="Times New Roman" w:cs="Times New Roman"/>
                <w:kern w:val="0"/>
                <w:szCs w:val="21"/>
              </w:rPr>
            </w:pPr>
            <w:r w:rsidRPr="00BC51DB">
              <w:rPr>
                <w:rFonts w:ascii="Times New Roman" w:eastAsia="宋体" w:hAnsi="Times New Roman" w:cs="Times New Roman"/>
                <w:kern w:val="0"/>
                <w:szCs w:val="21"/>
              </w:rPr>
              <w:t>湖北省农业厅</w:t>
            </w:r>
          </w:p>
        </w:tc>
        <w:tc>
          <w:tcPr>
            <w:tcW w:w="1282" w:type="dxa"/>
            <w:shd w:val="clear" w:color="auto" w:fill="auto"/>
            <w:noWrap/>
            <w:vAlign w:val="center"/>
            <w:hideMark/>
          </w:tcPr>
          <w:p w:rsidR="00BC51DB" w:rsidRPr="00BC51DB" w:rsidRDefault="00BC51DB" w:rsidP="00BC51DB">
            <w:pPr>
              <w:widowControl/>
              <w:snapToGrid w:val="0"/>
              <w:jc w:val="left"/>
              <w:rPr>
                <w:rFonts w:ascii="Times New Roman" w:eastAsia="宋体" w:hAnsi="Times New Roman" w:cs="Times New Roman"/>
                <w:kern w:val="0"/>
                <w:szCs w:val="21"/>
              </w:rPr>
            </w:pPr>
            <w:r w:rsidRPr="00BC51DB">
              <w:rPr>
                <w:rFonts w:ascii="Times New Roman" w:eastAsia="宋体" w:hAnsi="Times New Roman" w:cs="Times New Roman"/>
                <w:kern w:val="0"/>
                <w:szCs w:val="21"/>
              </w:rPr>
              <w:t>科研项目</w:t>
            </w:r>
          </w:p>
        </w:tc>
      </w:tr>
    </w:tbl>
    <w:p w:rsidR="007B0005" w:rsidRPr="00BC51DB" w:rsidRDefault="007B0005" w:rsidP="00BC51DB">
      <w:pPr>
        <w:snapToGrid w:val="0"/>
        <w:rPr>
          <w:rFonts w:ascii="Times New Roman" w:hAnsi="Times New Roman" w:cs="Times New Roman"/>
        </w:rPr>
      </w:pPr>
    </w:p>
    <w:sectPr w:rsidR="007B0005" w:rsidRPr="00BC51DB" w:rsidSect="00BC51DB">
      <w:pgSz w:w="23808" w:h="16840" w:orient="landscape" w:code="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DB" w:rsidRDefault="009D58DB" w:rsidP="00E9168B">
      <w:r>
        <w:separator/>
      </w:r>
    </w:p>
  </w:endnote>
  <w:endnote w:type="continuationSeparator" w:id="0">
    <w:p w:rsidR="009D58DB" w:rsidRDefault="009D58DB" w:rsidP="00E9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DB" w:rsidRDefault="009D58DB" w:rsidP="00E9168B">
      <w:r>
        <w:separator/>
      </w:r>
    </w:p>
  </w:footnote>
  <w:footnote w:type="continuationSeparator" w:id="0">
    <w:p w:rsidR="009D58DB" w:rsidRDefault="009D58DB" w:rsidP="00E91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B"/>
    <w:rsid w:val="00085E8E"/>
    <w:rsid w:val="000B52D6"/>
    <w:rsid w:val="000F047D"/>
    <w:rsid w:val="001E6420"/>
    <w:rsid w:val="00347473"/>
    <w:rsid w:val="003A6C44"/>
    <w:rsid w:val="00494638"/>
    <w:rsid w:val="004D7B0B"/>
    <w:rsid w:val="00577F28"/>
    <w:rsid w:val="005E2753"/>
    <w:rsid w:val="006C4E99"/>
    <w:rsid w:val="007B0005"/>
    <w:rsid w:val="0084180C"/>
    <w:rsid w:val="009D58DB"/>
    <w:rsid w:val="00A245F6"/>
    <w:rsid w:val="00B70B32"/>
    <w:rsid w:val="00BC51DB"/>
    <w:rsid w:val="00BD4A54"/>
    <w:rsid w:val="00D422C0"/>
    <w:rsid w:val="00DF3864"/>
    <w:rsid w:val="00DF7BD7"/>
    <w:rsid w:val="00E9168B"/>
    <w:rsid w:val="00F34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DD37E4-6378-4281-8379-3214A09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6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168B"/>
    <w:rPr>
      <w:sz w:val="18"/>
      <w:szCs w:val="18"/>
    </w:rPr>
  </w:style>
  <w:style w:type="paragraph" w:styleId="a5">
    <w:name w:val="footer"/>
    <w:basedOn w:val="a"/>
    <w:link w:val="a6"/>
    <w:uiPriority w:val="99"/>
    <w:unhideWhenUsed/>
    <w:rsid w:val="00E9168B"/>
    <w:pPr>
      <w:tabs>
        <w:tab w:val="center" w:pos="4153"/>
        <w:tab w:val="right" w:pos="8306"/>
      </w:tabs>
      <w:snapToGrid w:val="0"/>
      <w:jc w:val="left"/>
    </w:pPr>
    <w:rPr>
      <w:sz w:val="18"/>
      <w:szCs w:val="18"/>
    </w:rPr>
  </w:style>
  <w:style w:type="character" w:customStyle="1" w:styleId="a6">
    <w:name w:val="页脚 字符"/>
    <w:basedOn w:val="a0"/>
    <w:link w:val="a5"/>
    <w:uiPriority w:val="99"/>
    <w:rsid w:val="00E916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administartor</dc:creator>
  <cp:keywords/>
  <dc:description/>
  <cp:lastModifiedBy>HWX</cp:lastModifiedBy>
  <cp:revision>36</cp:revision>
  <dcterms:created xsi:type="dcterms:W3CDTF">2022-05-24T03:16:00Z</dcterms:created>
  <dcterms:modified xsi:type="dcterms:W3CDTF">2022-05-30T03:10:00Z</dcterms:modified>
</cp:coreProperties>
</file>