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260" w:after="260" w:line="300" w:lineRule="auto"/>
        <w:jc w:val="center"/>
        <w:outlineLvl w:val="1"/>
        <w:rPr>
          <w:rFonts w:ascii="Times New Roman" w:hAnsi="Times New Roman" w:eastAsia="宋体" w:cs="宋体"/>
          <w:b/>
          <w:bCs/>
          <w:sz w:val="30"/>
          <w:szCs w:val="30"/>
        </w:rPr>
      </w:pPr>
      <w:bookmarkStart w:id="0" w:name="_Toc47727087"/>
      <w:r>
        <w:rPr>
          <w:rFonts w:hint="eastAsia" w:ascii="Times New Roman" w:hAnsi="Times New Roman" w:eastAsia="宋体" w:cs="宋体"/>
          <w:b/>
          <w:bCs/>
          <w:sz w:val="30"/>
          <w:szCs w:val="30"/>
        </w:rPr>
        <w:t>附件</w:t>
      </w:r>
      <w:r>
        <w:rPr>
          <w:rFonts w:hint="eastAsia" w:ascii="Times New Roman" w:hAnsi="Times New Roman" w:eastAsia="宋体" w:cs="宋体"/>
          <w:b/>
          <w:bCs/>
          <w:sz w:val="30"/>
          <w:szCs w:val="30"/>
          <w:lang w:eastAsia="zh-CN"/>
        </w:rPr>
        <w:t>5</w:t>
      </w:r>
      <w:r>
        <w:rPr>
          <w:rFonts w:hint="eastAsia" w:ascii="Times New Roman" w:hAnsi="Times New Roman" w:eastAsia="宋体" w:cs="宋体"/>
          <w:b/>
          <w:bCs/>
          <w:sz w:val="30"/>
          <w:szCs w:val="30"/>
        </w:rPr>
        <w:t>：2020年“在商言商”商务谈判比赛方案写作评分细则</w:t>
      </w:r>
      <w:bookmarkEnd w:id="0"/>
    </w:p>
    <w:tbl>
      <w:tblPr>
        <w:tblStyle w:val="5"/>
        <w:tblW w:w="88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746"/>
        <w:gridCol w:w="1039"/>
        <w:gridCol w:w="941"/>
        <w:gridCol w:w="941"/>
        <w:gridCol w:w="941"/>
        <w:gridCol w:w="941"/>
        <w:gridCol w:w="11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 xml:space="preserve">     等级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 xml:space="preserve"> 维度  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差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中差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中等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好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极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 谈判主题分析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（1）谈判目的的确定与谈判主题的描述</w:t>
            </w: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1 2 4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5 6 9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10 11 13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14 15 17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18 19 20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（2）前期调研工作</w:t>
            </w:r>
          </w:p>
        </w:tc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 相关环境及双方优劣势分析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（1）相关（宏/ 中观）环境分析 </w:t>
            </w: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1 4 6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7 10 12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13 16 19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20 23 25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26 28 30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（2）双方优劣势 分析 </w:t>
            </w:r>
          </w:p>
        </w:tc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（3）谈判（交易） 内容的确定 </w:t>
            </w:r>
          </w:p>
        </w:tc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 谈判议程与策略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（1）谈判议程、 时间安排 </w:t>
            </w: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1 4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5 8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9 12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13 17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18 20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（2）谈判过程中 的相关策略 </w:t>
            </w:r>
          </w:p>
        </w:tc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（3）谈判的其他 规定 </w:t>
            </w:r>
          </w:p>
        </w:tc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 谈判角色分配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（1）团队成员及 角色 </w:t>
            </w: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1 3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4 6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7 9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10 12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13 15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（2）出场、座次 安排 </w:t>
            </w:r>
          </w:p>
        </w:tc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（3）成员的素质 要求及具体分工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合作 </w:t>
            </w:r>
          </w:p>
        </w:tc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 文案资料准备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（1）谈判方案的 设计思路和质量 </w:t>
            </w: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1 3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4 6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7 9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10 12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13 15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（2）谈判中所需 其他文案、资料 </w:t>
            </w:r>
          </w:p>
        </w:tc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8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2"/>
              </w:rPr>
              <w:t>该项成绩占初赛及决赛加权排名成绩30%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2"/>
              </w:rPr>
              <w:t>该项成绩满分分值为100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87</Words>
  <Characters>497</Characters>
  <Lines>4</Lines>
  <Paragraphs>1</Paragraphs>
  <ScaleCrop>false</ScaleCrop>
  <LinksUpToDate>false</LinksUpToDate>
  <CharactersWithSpaces>583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2020-08-09T07:00:00Z</dcterms:created>
  <dc:creator>念稚</dc:creator>
  <cp:lastModifiedBy>iPad😊</cp:lastModifiedBy>
  <dcterms:modified xsi:type="dcterms:W3CDTF">2020-08-12T10:05:22Z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2052-10.14.0</vt:lpwstr>
  </property>
</Properties>
</file>