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both"/>
        <w:rPr>
          <w:rFonts w:hint="eastAsia" w:ascii="华文中宋" w:hAnsi="华文中宋" w:eastAsia="宋体" w:cs="DFKai-SB"/>
          <w:b/>
          <w:bCs/>
          <w:color w:val="000000"/>
          <w:sz w:val="21"/>
          <w:szCs w:val="21"/>
          <w:lang w:val="en-US" w:eastAsia="zh-CN"/>
        </w:rPr>
      </w:pPr>
      <w:bookmarkStart w:id="0" w:name="_GoBack"/>
      <w:r>
        <w:rPr>
          <w:rFonts w:hint="eastAsia" w:ascii="华文中宋" w:hAnsi="华文中宋" w:eastAsia="宋体" w:cs="DFKai-SB"/>
          <w:b/>
          <w:bCs/>
          <w:color w:val="000000"/>
          <w:sz w:val="21"/>
          <w:szCs w:val="21"/>
          <w:lang w:val="en-US" w:eastAsia="zh-CN"/>
        </w:rPr>
        <w:t>附件：</w:t>
      </w:r>
    </w:p>
    <w:p>
      <w:pPr>
        <w:adjustRightInd w:val="0"/>
        <w:snapToGrid w:val="0"/>
        <w:jc w:val="both"/>
        <w:rPr>
          <w:rFonts w:hint="eastAsia" w:ascii="华文中宋" w:hAnsi="华文中宋" w:eastAsia="宋体" w:cs="DFKai-SB"/>
          <w:b/>
          <w:bCs/>
          <w:color w:val="000000"/>
          <w:sz w:val="21"/>
          <w:szCs w:val="21"/>
        </w:rPr>
      </w:pPr>
      <w:r>
        <w:rPr>
          <w:rFonts w:hint="eastAsia" w:ascii="华文中宋" w:hAnsi="华文中宋" w:eastAsia="宋体" w:cs="DFKai-SB"/>
          <w:b/>
          <w:bCs/>
          <w:color w:val="000000"/>
          <w:sz w:val="21"/>
          <w:szCs w:val="21"/>
          <w:lang w:val="en-US" w:eastAsia="zh-CN"/>
        </w:rPr>
        <w:t>(一)李天行教授简历</w:t>
      </w:r>
    </w:p>
    <w:p>
      <w:pPr>
        <w:adjustRightInd w:val="0"/>
        <w:snapToGrid w:val="0"/>
        <w:ind w:firstLine="420" w:firstLineChars="200"/>
        <w:jc w:val="both"/>
        <w:rPr>
          <w:rFonts w:ascii="华文中宋" w:hAnsi="华文中宋" w:eastAsia="华文中宋" w:cs="DFKai-SB"/>
          <w:color w:val="000000"/>
          <w:sz w:val="21"/>
          <w:szCs w:val="21"/>
        </w:rPr>
      </w:pPr>
      <w:r>
        <w:rPr>
          <w:rFonts w:hint="eastAsia" w:ascii="华文中宋" w:hAnsi="华文中宋" w:eastAsia="宋体" w:cs="DFKai-SB"/>
          <w:color w:val="000000"/>
          <w:sz w:val="21"/>
          <w:szCs w:val="21"/>
          <w:lang w:eastAsia="zh-CN"/>
        </w:rPr>
        <w:t>李天行教授在辅仁大学获得企业管理学士学位，后在</w:t>
      </w:r>
      <w:r>
        <w:rPr>
          <w:rFonts w:hint="eastAsia" w:ascii="华文中宋" w:hAnsi="华文中宋" w:eastAsia="宋体" w:cs="DFKai-SB"/>
          <w:color w:val="000000"/>
          <w:sz w:val="21"/>
          <w:szCs w:val="21"/>
        </w:rPr>
        <w:t>美国</w:t>
      </w:r>
      <w:r>
        <w:rPr>
          <w:rFonts w:hint="eastAsia" w:ascii="华文中宋" w:hAnsi="华文中宋" w:eastAsia="宋体"/>
          <w:color w:val="000000"/>
          <w:sz w:val="21"/>
          <w:szCs w:val="21"/>
        </w:rPr>
        <w:t>奥</w:t>
      </w:r>
      <w:r>
        <w:rPr>
          <w:rFonts w:hint="eastAsia" w:ascii="华文中宋" w:hAnsi="华文中宋" w:eastAsia="宋体" w:cs="DFKai-SB"/>
          <w:color w:val="000000"/>
          <w:sz w:val="21"/>
          <w:szCs w:val="21"/>
        </w:rPr>
        <w:t>斯汀大</w:t>
      </w:r>
      <w:r>
        <w:rPr>
          <w:rFonts w:hint="eastAsia" w:ascii="华文中宋" w:hAnsi="华文中宋" w:eastAsia="宋体"/>
          <w:color w:val="000000"/>
          <w:sz w:val="21"/>
          <w:szCs w:val="21"/>
        </w:rPr>
        <w:t>学</w:t>
      </w:r>
      <w:r>
        <w:rPr>
          <w:rFonts w:ascii="华文中宋" w:hAnsi="华文中宋" w:eastAsia="宋体" w:cs="DFKai-SB"/>
          <w:color w:val="000000"/>
          <w:sz w:val="21"/>
          <w:szCs w:val="21"/>
        </w:rPr>
        <w:t>(The University of Texas at Austin)</w:t>
      </w:r>
      <w:r>
        <w:rPr>
          <w:rFonts w:hint="eastAsia" w:ascii="华文中宋" w:hAnsi="华文中宋" w:eastAsia="宋体" w:cs="DFKai-SB"/>
          <w:color w:val="000000"/>
          <w:sz w:val="21"/>
          <w:szCs w:val="21"/>
        </w:rPr>
        <w:t>作</w:t>
      </w:r>
      <w:r>
        <w:rPr>
          <w:rFonts w:hint="eastAsia" w:ascii="华文中宋" w:hAnsi="华文中宋" w:eastAsia="宋体"/>
          <w:color w:val="000000"/>
          <w:sz w:val="21"/>
          <w:szCs w:val="21"/>
        </w:rPr>
        <w:t>业</w:t>
      </w:r>
      <w:r>
        <w:rPr>
          <w:rFonts w:hint="eastAsia" w:ascii="华文中宋" w:hAnsi="华文中宋" w:eastAsia="宋体" w:cs="DFKai-SB"/>
          <w:color w:val="000000"/>
          <w:sz w:val="21"/>
          <w:szCs w:val="21"/>
        </w:rPr>
        <w:t>研究与工</w:t>
      </w:r>
      <w:r>
        <w:rPr>
          <w:rFonts w:hint="eastAsia" w:ascii="华文中宋" w:hAnsi="华文中宋" w:eastAsia="宋体"/>
          <w:color w:val="000000"/>
          <w:sz w:val="21"/>
          <w:szCs w:val="21"/>
        </w:rPr>
        <w:t>业</w:t>
      </w:r>
      <w:r>
        <w:rPr>
          <w:rFonts w:hint="eastAsia" w:ascii="华文中宋" w:hAnsi="华文中宋" w:eastAsia="宋体" w:cs="DFKai-SB"/>
          <w:color w:val="000000"/>
          <w:sz w:val="21"/>
          <w:szCs w:val="21"/>
        </w:rPr>
        <w:t>工程</w:t>
      </w:r>
      <w:r>
        <w:rPr>
          <w:rFonts w:hint="eastAsia" w:ascii="华文中宋" w:hAnsi="华文中宋" w:eastAsia="宋体" w:cs="DFKai-SB"/>
          <w:color w:val="000000"/>
          <w:sz w:val="21"/>
          <w:szCs w:val="21"/>
          <w:lang w:eastAsia="zh-CN"/>
        </w:rPr>
        <w:t>的硕士和</w:t>
      </w:r>
      <w:r>
        <w:rPr>
          <w:rFonts w:hint="eastAsia" w:ascii="华文中宋" w:hAnsi="华文中宋" w:eastAsia="宋体" w:cs="DFKai-SB"/>
          <w:color w:val="000000"/>
          <w:sz w:val="21"/>
          <w:szCs w:val="21"/>
        </w:rPr>
        <w:t>博士</w:t>
      </w:r>
      <w:r>
        <w:rPr>
          <w:rFonts w:hint="eastAsia" w:ascii="华文中宋" w:hAnsi="华文中宋" w:eastAsia="宋体" w:cs="DFKai-SB"/>
          <w:color w:val="000000"/>
          <w:sz w:val="21"/>
          <w:szCs w:val="21"/>
          <w:lang w:eastAsia="zh-CN"/>
        </w:rPr>
        <w:t>学位</w:t>
      </w:r>
      <w:r>
        <w:rPr>
          <w:rFonts w:hint="eastAsia" w:ascii="华文中宋" w:hAnsi="华文中宋" w:eastAsia="宋体" w:cs="DFKai-SB"/>
          <w:color w:val="000000"/>
          <w:sz w:val="21"/>
          <w:szCs w:val="21"/>
        </w:rPr>
        <w:t>，现任台</w:t>
      </w:r>
      <w:r>
        <w:rPr>
          <w:rFonts w:hint="eastAsia" w:ascii="华文中宋" w:hAnsi="华文中宋" w:eastAsia="宋体"/>
          <w:color w:val="000000"/>
          <w:sz w:val="21"/>
          <w:szCs w:val="21"/>
        </w:rPr>
        <w:t>湾辅</w:t>
      </w:r>
      <w:r>
        <w:rPr>
          <w:rFonts w:hint="eastAsia" w:ascii="华文中宋" w:hAnsi="华文中宋" w:eastAsia="宋体" w:cs="DFKai-SB"/>
          <w:color w:val="000000"/>
          <w:sz w:val="21"/>
          <w:szCs w:val="21"/>
        </w:rPr>
        <w:t>仁大</w:t>
      </w:r>
      <w:r>
        <w:rPr>
          <w:rFonts w:hint="eastAsia" w:ascii="华文中宋" w:hAnsi="华文中宋" w:eastAsia="宋体"/>
          <w:color w:val="000000"/>
          <w:sz w:val="21"/>
          <w:szCs w:val="21"/>
        </w:rPr>
        <w:t>学</w:t>
      </w:r>
      <w:r>
        <w:rPr>
          <w:rFonts w:ascii="华文中宋" w:hAnsi="华文中宋" w:eastAsia="宋体" w:cs="Times New Roman"/>
          <w:color w:val="000000"/>
          <w:sz w:val="21"/>
          <w:szCs w:val="21"/>
        </w:rPr>
        <w:t>副校长</w:t>
      </w:r>
      <w:r>
        <w:rPr>
          <w:rFonts w:hint="eastAsia" w:ascii="华文中宋" w:hAnsi="华文中宋" w:eastAsia="宋体" w:cs="Times New Roman"/>
          <w:color w:val="000000"/>
          <w:sz w:val="21"/>
          <w:szCs w:val="21"/>
        </w:rPr>
        <w:t>、</w:t>
      </w:r>
      <w:r>
        <w:rPr>
          <w:rFonts w:hint="eastAsia" w:ascii="华文中宋" w:hAnsi="华文中宋" w:eastAsia="宋体" w:cs="DFKai-SB"/>
          <w:color w:val="000000"/>
          <w:sz w:val="21"/>
          <w:szCs w:val="21"/>
        </w:rPr>
        <w:t>商</w:t>
      </w:r>
      <w:r>
        <w:rPr>
          <w:rFonts w:hint="eastAsia" w:ascii="华文中宋" w:hAnsi="华文中宋" w:eastAsia="宋体"/>
          <w:color w:val="000000"/>
          <w:sz w:val="21"/>
          <w:szCs w:val="21"/>
        </w:rPr>
        <w:t>学</w:t>
      </w:r>
      <w:r>
        <w:rPr>
          <w:rFonts w:hint="eastAsia" w:ascii="华文中宋" w:hAnsi="华文中宋" w:eastAsia="宋体" w:cs="DFKai-SB"/>
          <w:color w:val="000000"/>
          <w:sz w:val="21"/>
          <w:szCs w:val="21"/>
        </w:rPr>
        <w:t>研究所</w:t>
      </w:r>
      <w:r>
        <w:rPr>
          <w:rFonts w:ascii="华文中宋" w:hAnsi="华文中宋" w:eastAsia="宋体" w:cs="Times New Roman"/>
          <w:color w:val="000000"/>
          <w:sz w:val="21"/>
          <w:szCs w:val="21"/>
        </w:rPr>
        <w:t>特聘教授</w:t>
      </w:r>
      <w:r>
        <w:rPr>
          <w:rFonts w:hint="eastAsia" w:ascii="华文中宋" w:hAnsi="华文中宋" w:eastAsia="宋体" w:cs="Times New Roman"/>
          <w:color w:val="000000"/>
          <w:sz w:val="21"/>
          <w:szCs w:val="21"/>
        </w:rPr>
        <w:t>；曾</w:t>
      </w:r>
      <w:r>
        <w:rPr>
          <w:rFonts w:ascii="华文中宋" w:hAnsi="华文中宋" w:eastAsia="宋体" w:cs="Times New Roman"/>
          <w:color w:val="000000"/>
          <w:sz w:val="21"/>
          <w:szCs w:val="21"/>
        </w:rPr>
        <w:t>任管理学院院长</w:t>
      </w:r>
      <w:r>
        <w:rPr>
          <w:rFonts w:hint="eastAsia" w:ascii="华文中宋" w:hAnsi="华文中宋" w:eastAsia="宋体" w:cs="Times New Roman"/>
          <w:color w:val="000000"/>
          <w:sz w:val="21"/>
          <w:szCs w:val="21"/>
        </w:rPr>
        <w:t>，</w:t>
      </w:r>
      <w:r>
        <w:rPr>
          <w:rFonts w:hint="eastAsia" w:ascii="华文中宋" w:hAnsi="华文中宋" w:eastAsia="宋体" w:cs="DFKai-SB"/>
          <w:color w:val="000000"/>
          <w:sz w:val="21"/>
          <w:szCs w:val="21"/>
        </w:rPr>
        <w:t>博士生</w:t>
      </w:r>
      <w:r>
        <w:rPr>
          <w:rFonts w:hint="eastAsia" w:ascii="华文中宋" w:hAnsi="华文中宋" w:eastAsia="宋体"/>
          <w:color w:val="000000"/>
          <w:sz w:val="21"/>
          <w:szCs w:val="21"/>
        </w:rPr>
        <w:t>导师</w:t>
      </w:r>
      <w:r>
        <w:rPr>
          <w:rFonts w:hint="eastAsia" w:ascii="华文中宋" w:hAnsi="华文中宋" w:eastAsia="宋体" w:cs="DFKai-SB"/>
          <w:color w:val="000000"/>
          <w:sz w:val="21"/>
          <w:szCs w:val="21"/>
        </w:rPr>
        <w:t>，中</w:t>
      </w:r>
      <w:r>
        <w:rPr>
          <w:rFonts w:hint="eastAsia" w:ascii="华文中宋" w:hAnsi="华文中宋" w:eastAsia="宋体"/>
          <w:color w:val="000000"/>
          <w:sz w:val="21"/>
          <w:szCs w:val="21"/>
        </w:rPr>
        <w:t>国</w:t>
      </w:r>
      <w:r>
        <w:rPr>
          <w:rFonts w:hint="eastAsia" w:ascii="华文中宋" w:hAnsi="华文中宋" w:eastAsia="宋体" w:cs="DFKai-SB"/>
          <w:color w:val="000000"/>
          <w:sz w:val="21"/>
          <w:szCs w:val="21"/>
        </w:rPr>
        <w:t>人民大</w:t>
      </w:r>
      <w:r>
        <w:rPr>
          <w:rFonts w:hint="eastAsia" w:ascii="华文中宋" w:hAnsi="华文中宋" w:eastAsia="宋体"/>
          <w:color w:val="000000"/>
          <w:sz w:val="21"/>
          <w:szCs w:val="21"/>
        </w:rPr>
        <w:t>学</w:t>
      </w:r>
      <w:r>
        <w:rPr>
          <w:rFonts w:hint="eastAsia" w:ascii="华文中宋" w:hAnsi="华文中宋" w:eastAsia="宋体" w:cs="DFKai-SB"/>
          <w:color w:val="000000"/>
          <w:sz w:val="21"/>
          <w:szCs w:val="21"/>
        </w:rPr>
        <w:t>、</w:t>
      </w:r>
      <w:r>
        <w:rPr>
          <w:rFonts w:hint="eastAsia" w:ascii="华文中宋" w:hAnsi="华文中宋" w:eastAsia="宋体"/>
          <w:color w:val="000000"/>
          <w:sz w:val="21"/>
          <w:szCs w:val="21"/>
        </w:rPr>
        <w:t>厦门</w:t>
      </w:r>
      <w:r>
        <w:rPr>
          <w:rFonts w:hint="eastAsia" w:ascii="华文中宋" w:hAnsi="华文中宋" w:eastAsia="宋体" w:cs="DFKai-SB"/>
          <w:color w:val="000000"/>
          <w:sz w:val="21"/>
          <w:szCs w:val="21"/>
        </w:rPr>
        <w:t>大</w:t>
      </w:r>
      <w:r>
        <w:rPr>
          <w:rFonts w:hint="eastAsia" w:ascii="华文中宋" w:hAnsi="华文中宋" w:eastAsia="宋体"/>
          <w:color w:val="000000"/>
          <w:sz w:val="21"/>
          <w:szCs w:val="21"/>
        </w:rPr>
        <w:t>学</w:t>
      </w:r>
      <w:r>
        <w:rPr>
          <w:rFonts w:hint="eastAsia" w:ascii="华文中宋" w:hAnsi="华文中宋" w:eastAsia="宋体" w:cs="DFKai-SB"/>
          <w:color w:val="000000"/>
          <w:sz w:val="21"/>
          <w:szCs w:val="21"/>
        </w:rPr>
        <w:t>、中</w:t>
      </w:r>
      <w:r>
        <w:rPr>
          <w:rFonts w:hint="eastAsia" w:ascii="华文中宋" w:hAnsi="华文中宋" w:eastAsia="宋体"/>
          <w:color w:val="000000"/>
          <w:sz w:val="21"/>
          <w:szCs w:val="21"/>
        </w:rPr>
        <w:t>国</w:t>
      </w:r>
      <w:r>
        <w:rPr>
          <w:rFonts w:hint="eastAsia" w:ascii="华文中宋" w:hAnsi="华文中宋" w:eastAsia="宋体" w:cs="DFKai-SB"/>
          <w:color w:val="000000"/>
          <w:sz w:val="21"/>
          <w:szCs w:val="21"/>
        </w:rPr>
        <w:t>科技大</w:t>
      </w:r>
      <w:r>
        <w:rPr>
          <w:rFonts w:hint="eastAsia" w:ascii="华文中宋" w:hAnsi="华文中宋" w:eastAsia="宋体"/>
          <w:color w:val="000000"/>
          <w:sz w:val="21"/>
          <w:szCs w:val="21"/>
        </w:rPr>
        <w:t>学</w:t>
      </w:r>
      <w:r>
        <w:rPr>
          <w:rFonts w:hint="eastAsia" w:ascii="华文中宋" w:hAnsi="华文中宋" w:eastAsia="宋体" w:cs="DFKai-SB"/>
          <w:color w:val="000000"/>
          <w:sz w:val="21"/>
          <w:szCs w:val="21"/>
        </w:rPr>
        <w:t>、</w:t>
      </w:r>
      <w:r>
        <w:rPr>
          <w:rFonts w:hint="eastAsia" w:ascii="华文中宋" w:hAnsi="华文中宋" w:eastAsia="宋体"/>
          <w:color w:val="000000"/>
          <w:sz w:val="21"/>
          <w:szCs w:val="21"/>
        </w:rPr>
        <w:t>广</w:t>
      </w:r>
      <w:r>
        <w:rPr>
          <w:rFonts w:hint="eastAsia" w:ascii="华文中宋" w:hAnsi="华文中宋" w:eastAsia="宋体" w:cs="DFKai-SB"/>
          <w:color w:val="000000"/>
          <w:sz w:val="21"/>
          <w:szCs w:val="21"/>
        </w:rPr>
        <w:t>州中山大</w:t>
      </w:r>
      <w:r>
        <w:rPr>
          <w:rFonts w:hint="eastAsia" w:ascii="华文中宋" w:hAnsi="华文中宋" w:eastAsia="宋体"/>
          <w:color w:val="000000"/>
          <w:sz w:val="21"/>
          <w:szCs w:val="21"/>
        </w:rPr>
        <w:t>学</w:t>
      </w:r>
      <w:r>
        <w:rPr>
          <w:rFonts w:hint="eastAsia" w:ascii="华文中宋" w:hAnsi="华文中宋" w:eastAsia="宋体" w:cs="DFKai-SB"/>
          <w:color w:val="000000"/>
          <w:sz w:val="21"/>
          <w:szCs w:val="21"/>
        </w:rPr>
        <w:t>、武</w:t>
      </w:r>
      <w:r>
        <w:rPr>
          <w:rFonts w:hint="eastAsia" w:ascii="华文中宋" w:hAnsi="华文中宋" w:eastAsia="宋体"/>
          <w:color w:val="000000"/>
          <w:sz w:val="21"/>
          <w:szCs w:val="21"/>
        </w:rPr>
        <w:t>汉</w:t>
      </w:r>
      <w:r>
        <w:rPr>
          <w:rFonts w:hint="eastAsia" w:ascii="华文中宋" w:hAnsi="华文中宋" w:eastAsia="宋体" w:cs="DFKai-SB"/>
          <w:color w:val="000000"/>
          <w:sz w:val="21"/>
          <w:szCs w:val="21"/>
        </w:rPr>
        <w:t>大</w:t>
      </w:r>
      <w:r>
        <w:rPr>
          <w:rFonts w:hint="eastAsia" w:ascii="华文中宋" w:hAnsi="华文中宋" w:eastAsia="宋体"/>
          <w:color w:val="000000"/>
          <w:sz w:val="21"/>
          <w:szCs w:val="21"/>
        </w:rPr>
        <w:t>学</w:t>
      </w:r>
      <w:r>
        <w:rPr>
          <w:rFonts w:hint="eastAsia" w:ascii="华文中宋" w:hAnsi="华文中宋" w:eastAsia="宋体" w:cs="DFKai-SB"/>
          <w:color w:val="000000"/>
          <w:sz w:val="21"/>
          <w:szCs w:val="21"/>
        </w:rPr>
        <w:t>、上海</w:t>
      </w:r>
      <w:r>
        <w:rPr>
          <w:rFonts w:hint="eastAsia" w:ascii="华文中宋" w:hAnsi="华文中宋" w:eastAsia="宋体"/>
          <w:color w:val="000000"/>
          <w:sz w:val="21"/>
          <w:szCs w:val="21"/>
        </w:rPr>
        <w:t>财经</w:t>
      </w:r>
      <w:r>
        <w:rPr>
          <w:rFonts w:hint="eastAsia" w:ascii="华文中宋" w:hAnsi="华文中宋" w:eastAsia="宋体" w:cs="DFKai-SB"/>
          <w:color w:val="000000"/>
          <w:sz w:val="21"/>
          <w:szCs w:val="21"/>
        </w:rPr>
        <w:t>大</w:t>
      </w:r>
      <w:r>
        <w:rPr>
          <w:rFonts w:hint="eastAsia" w:ascii="华文中宋" w:hAnsi="华文中宋" w:eastAsia="宋体"/>
          <w:color w:val="000000"/>
          <w:sz w:val="21"/>
          <w:szCs w:val="21"/>
        </w:rPr>
        <w:t>学</w:t>
      </w:r>
      <w:r>
        <w:rPr>
          <w:rFonts w:hint="eastAsia" w:ascii="华文中宋" w:hAnsi="华文中宋" w:eastAsia="宋体" w:cs="DFKai-SB"/>
          <w:color w:val="000000"/>
          <w:sz w:val="21"/>
          <w:szCs w:val="21"/>
        </w:rPr>
        <w:t>、澳洲南澳大</w:t>
      </w:r>
      <w:r>
        <w:rPr>
          <w:rFonts w:hint="eastAsia" w:ascii="华文中宋" w:hAnsi="华文中宋" w:eastAsia="宋体"/>
          <w:color w:val="000000"/>
          <w:sz w:val="21"/>
          <w:szCs w:val="21"/>
        </w:rPr>
        <w:t>学</w:t>
      </w:r>
      <w:r>
        <w:rPr>
          <w:rFonts w:hint="eastAsia" w:ascii="华文中宋" w:hAnsi="华文中宋" w:eastAsia="宋体" w:cs="DFKai-SB"/>
          <w:color w:val="000000"/>
          <w:sz w:val="21"/>
          <w:szCs w:val="21"/>
        </w:rPr>
        <w:t>、美</w:t>
      </w:r>
      <w:r>
        <w:rPr>
          <w:rFonts w:hint="eastAsia" w:ascii="华文中宋" w:hAnsi="华文中宋" w:eastAsia="宋体"/>
          <w:color w:val="000000"/>
          <w:sz w:val="21"/>
          <w:szCs w:val="21"/>
        </w:rPr>
        <w:t>国纽约</w:t>
      </w:r>
      <w:r>
        <w:rPr>
          <w:rFonts w:hint="eastAsia" w:ascii="华文中宋" w:hAnsi="华文中宋" w:eastAsia="宋体" w:cs="DFKai-SB"/>
          <w:color w:val="000000"/>
          <w:sz w:val="21"/>
          <w:szCs w:val="21"/>
        </w:rPr>
        <w:t>州立大</w:t>
      </w:r>
      <w:r>
        <w:rPr>
          <w:rFonts w:hint="eastAsia" w:ascii="华文中宋" w:hAnsi="华文中宋" w:eastAsia="宋体"/>
          <w:color w:val="000000"/>
          <w:sz w:val="21"/>
          <w:szCs w:val="21"/>
        </w:rPr>
        <w:t>学</w:t>
      </w:r>
      <w:r>
        <w:rPr>
          <w:rFonts w:hint="eastAsia" w:ascii="华文中宋" w:hAnsi="华文中宋" w:eastAsia="宋体" w:cs="DFKai-SB"/>
          <w:color w:val="000000"/>
          <w:sz w:val="21"/>
          <w:szCs w:val="21"/>
        </w:rPr>
        <w:t>石溪分校、美</w:t>
      </w:r>
      <w:r>
        <w:rPr>
          <w:rFonts w:hint="eastAsia" w:ascii="华文中宋" w:hAnsi="华文中宋" w:eastAsia="宋体"/>
          <w:color w:val="000000"/>
          <w:sz w:val="21"/>
          <w:szCs w:val="21"/>
        </w:rPr>
        <w:t>国</w:t>
      </w:r>
      <w:r>
        <w:rPr>
          <w:rFonts w:hint="eastAsia" w:ascii="华文中宋" w:hAnsi="华文中宋" w:eastAsia="宋体" w:cs="DFKai-SB"/>
          <w:color w:val="000000"/>
          <w:sz w:val="21"/>
          <w:szCs w:val="21"/>
        </w:rPr>
        <w:t>德州大</w:t>
      </w:r>
      <w:r>
        <w:rPr>
          <w:rFonts w:hint="eastAsia" w:ascii="华文中宋" w:hAnsi="华文中宋" w:eastAsia="宋体"/>
          <w:color w:val="000000"/>
          <w:sz w:val="21"/>
          <w:szCs w:val="21"/>
        </w:rPr>
        <w:t>学</w:t>
      </w:r>
      <w:r>
        <w:rPr>
          <w:rFonts w:hint="eastAsia" w:ascii="华文中宋" w:hAnsi="华文中宋" w:eastAsia="宋体" w:cs="DFKai-SB"/>
          <w:color w:val="000000"/>
          <w:sz w:val="21"/>
          <w:szCs w:val="21"/>
        </w:rPr>
        <w:t>阿</w:t>
      </w:r>
      <w:r>
        <w:rPr>
          <w:rFonts w:hint="eastAsia" w:ascii="华文中宋" w:hAnsi="华文中宋" w:eastAsia="宋体"/>
          <w:color w:val="000000"/>
          <w:sz w:val="21"/>
          <w:szCs w:val="21"/>
        </w:rPr>
        <w:t>灵顿</w:t>
      </w:r>
      <w:r>
        <w:rPr>
          <w:rFonts w:hint="eastAsia" w:ascii="华文中宋" w:hAnsi="华文中宋" w:eastAsia="宋体" w:cs="DFKai-SB"/>
          <w:color w:val="000000"/>
          <w:sz w:val="21"/>
          <w:szCs w:val="21"/>
        </w:rPr>
        <w:t>分校等多所</w:t>
      </w:r>
      <w:r>
        <w:rPr>
          <w:rFonts w:hint="eastAsia" w:ascii="华文中宋" w:hAnsi="华文中宋" w:eastAsia="宋体"/>
          <w:color w:val="000000"/>
          <w:sz w:val="21"/>
          <w:szCs w:val="21"/>
        </w:rPr>
        <w:t>国内</w:t>
      </w:r>
      <w:r>
        <w:rPr>
          <w:rFonts w:hint="eastAsia" w:ascii="华文中宋" w:hAnsi="华文中宋" w:eastAsia="宋体" w:cs="DFKai-SB"/>
          <w:color w:val="000000"/>
          <w:sz w:val="21"/>
          <w:szCs w:val="21"/>
        </w:rPr>
        <w:t>外知名高校的客座教授。</w:t>
      </w:r>
    </w:p>
    <w:p>
      <w:pPr>
        <w:numPr>
          <w:ilvl w:val="0"/>
          <w:numId w:val="0"/>
        </w:numPr>
        <w:spacing w:line="240" w:lineRule="auto"/>
        <w:ind w:firstLine="420"/>
        <w:rPr>
          <w:rFonts w:hint="default"/>
          <w:lang w:val="en-US" w:eastAsia="zh-CN"/>
        </w:rPr>
      </w:pPr>
      <w:r>
        <w:rPr>
          <w:rFonts w:hint="eastAsia" w:ascii="华文中宋" w:hAnsi="华文中宋" w:eastAsia="宋体" w:cs="DFKai-SB"/>
          <w:color w:val="000000"/>
          <w:sz w:val="21"/>
          <w:szCs w:val="21"/>
        </w:rPr>
        <w:t>李天行教授目前</w:t>
      </w:r>
      <w:r>
        <w:rPr>
          <w:rFonts w:hint="eastAsia" w:ascii="华文中宋" w:hAnsi="华文中宋" w:eastAsia="宋体"/>
          <w:color w:val="000000"/>
          <w:sz w:val="21"/>
          <w:szCs w:val="21"/>
        </w:rPr>
        <w:t>担</w:t>
      </w:r>
      <w:r>
        <w:rPr>
          <w:rFonts w:hint="eastAsia" w:ascii="华文中宋" w:hAnsi="华文中宋" w:eastAsia="宋体" w:cs="DFKai-SB"/>
          <w:color w:val="000000"/>
          <w:sz w:val="21"/>
          <w:szCs w:val="21"/>
        </w:rPr>
        <w:t>任</w:t>
      </w:r>
      <w:r>
        <w:rPr>
          <w:rFonts w:ascii="华文中宋" w:hAnsi="华文中宋" w:eastAsia="宋体" w:cs="DFKai-SB"/>
          <w:color w:val="000000"/>
          <w:sz w:val="21"/>
          <w:szCs w:val="21"/>
        </w:rPr>
        <w:t xml:space="preserve"> AACSB </w:t>
      </w:r>
      <w:r>
        <w:rPr>
          <w:rFonts w:hint="eastAsia" w:ascii="华文中宋" w:hAnsi="华文中宋" w:eastAsia="宋体"/>
          <w:color w:val="000000"/>
          <w:sz w:val="21"/>
          <w:szCs w:val="21"/>
        </w:rPr>
        <w:t>认证访视</w:t>
      </w:r>
      <w:r>
        <w:rPr>
          <w:rFonts w:hint="eastAsia" w:ascii="华文中宋" w:hAnsi="华文中宋" w:eastAsia="宋体" w:cs="DFKai-SB"/>
          <w:color w:val="000000"/>
          <w:sz w:val="21"/>
          <w:szCs w:val="21"/>
        </w:rPr>
        <w:t>委</w:t>
      </w:r>
      <w:r>
        <w:rPr>
          <w:rFonts w:hint="eastAsia" w:ascii="华文中宋" w:hAnsi="华文中宋" w:eastAsia="宋体"/>
          <w:color w:val="000000"/>
          <w:sz w:val="21"/>
          <w:szCs w:val="21"/>
        </w:rPr>
        <w:t>员会</w:t>
      </w:r>
      <w:r>
        <w:rPr>
          <w:rFonts w:hint="eastAsia" w:ascii="华文中宋" w:hAnsi="华文中宋" w:eastAsia="宋体" w:cs="DFKai-SB"/>
          <w:color w:val="000000"/>
          <w:sz w:val="21"/>
          <w:szCs w:val="21"/>
        </w:rPr>
        <w:t>同</w:t>
      </w:r>
      <w:r>
        <w:rPr>
          <w:rFonts w:hint="eastAsia" w:ascii="华文中宋" w:hAnsi="华文中宋" w:eastAsia="宋体"/>
          <w:color w:val="000000"/>
          <w:sz w:val="21"/>
          <w:szCs w:val="21"/>
        </w:rPr>
        <w:t>侪评</w:t>
      </w:r>
      <w:r>
        <w:rPr>
          <w:rFonts w:hint="eastAsia" w:ascii="华文中宋" w:hAnsi="华文中宋" w:eastAsia="宋体" w:cs="DFKai-SB"/>
          <w:color w:val="000000"/>
          <w:sz w:val="21"/>
          <w:szCs w:val="21"/>
        </w:rPr>
        <w:t>估</w:t>
      </w:r>
      <w:r>
        <w:rPr>
          <w:rFonts w:ascii="华文中宋" w:hAnsi="华文中宋" w:eastAsia="宋体" w:cs="DFKai-SB"/>
          <w:color w:val="000000"/>
          <w:sz w:val="21"/>
          <w:szCs w:val="21"/>
        </w:rPr>
        <w:t>(peer review team, PRT)</w:t>
      </w:r>
      <w:r>
        <w:rPr>
          <w:rFonts w:hint="eastAsia" w:ascii="华文中宋" w:hAnsi="华文中宋" w:eastAsia="宋体" w:cs="DFKai-SB"/>
          <w:color w:val="000000"/>
          <w:sz w:val="21"/>
          <w:szCs w:val="21"/>
        </w:rPr>
        <w:t>委</w:t>
      </w:r>
      <w:r>
        <w:rPr>
          <w:rFonts w:hint="eastAsia" w:ascii="华文中宋" w:hAnsi="华文中宋" w:eastAsia="宋体"/>
          <w:color w:val="000000"/>
          <w:sz w:val="21"/>
          <w:szCs w:val="21"/>
        </w:rPr>
        <w:t>员</w:t>
      </w:r>
      <w:r>
        <w:rPr>
          <w:rFonts w:hint="eastAsia" w:ascii="华文中宋" w:hAnsi="华文中宋" w:eastAsia="宋体" w:cs="DFKai-SB"/>
          <w:color w:val="000000"/>
          <w:sz w:val="21"/>
          <w:szCs w:val="21"/>
        </w:rPr>
        <w:t>、</w:t>
      </w:r>
      <w:r>
        <w:rPr>
          <w:rFonts w:ascii="华文中宋" w:hAnsi="华文中宋" w:eastAsia="宋体" w:cs="DFKai-SB"/>
          <w:color w:val="000000"/>
          <w:sz w:val="21"/>
          <w:szCs w:val="21"/>
        </w:rPr>
        <w:t xml:space="preserve">AACSB </w:t>
      </w:r>
      <w:r>
        <w:rPr>
          <w:rFonts w:hint="eastAsia" w:ascii="华文中宋" w:hAnsi="华文中宋" w:eastAsia="宋体"/>
          <w:color w:val="000000"/>
          <w:sz w:val="21"/>
          <w:szCs w:val="21"/>
        </w:rPr>
        <w:t>认证</w:t>
      </w:r>
      <w:r>
        <w:rPr>
          <w:rFonts w:hint="eastAsia" w:ascii="华文中宋" w:hAnsi="华文中宋" w:eastAsia="宋体" w:cs="DFKai-SB"/>
          <w:color w:val="000000"/>
          <w:sz w:val="21"/>
          <w:szCs w:val="21"/>
        </w:rPr>
        <w:t>研</w:t>
      </w:r>
      <w:r>
        <w:rPr>
          <w:rFonts w:hint="eastAsia" w:ascii="华文中宋" w:hAnsi="华文中宋" w:eastAsia="宋体"/>
          <w:color w:val="000000"/>
          <w:sz w:val="21"/>
          <w:szCs w:val="21"/>
        </w:rPr>
        <w:t>讨会</w:t>
      </w:r>
      <w:r>
        <w:rPr>
          <w:rFonts w:ascii="华文中宋" w:hAnsi="华文中宋" w:eastAsia="宋体" w:cs="DFKai-SB"/>
          <w:color w:val="000000"/>
          <w:sz w:val="21"/>
          <w:szCs w:val="21"/>
        </w:rPr>
        <w:t>(business accreditation seminar, BAS)</w:t>
      </w:r>
      <w:r>
        <w:rPr>
          <w:rFonts w:hint="eastAsia" w:ascii="华文中宋" w:hAnsi="华文中宋" w:eastAsia="宋体" w:cs="DFKai-SB"/>
          <w:color w:val="000000"/>
          <w:sz w:val="21"/>
          <w:szCs w:val="21"/>
        </w:rPr>
        <w:t>大中</w:t>
      </w:r>
      <w:r>
        <w:rPr>
          <w:rFonts w:hint="eastAsia" w:ascii="华文中宋" w:hAnsi="华文中宋" w:eastAsia="宋体"/>
          <w:color w:val="000000"/>
          <w:sz w:val="21"/>
          <w:szCs w:val="21"/>
        </w:rPr>
        <w:t>华区</w:t>
      </w:r>
      <w:r>
        <w:rPr>
          <w:rFonts w:ascii="华文中宋" w:hAnsi="华文中宋" w:eastAsia="宋体" w:cs="Arial"/>
          <w:bCs/>
          <w:color w:val="000000"/>
          <w:sz w:val="21"/>
          <w:szCs w:val="21"/>
        </w:rPr>
        <w:t>首</w:t>
      </w:r>
      <w:r>
        <w:rPr>
          <w:rFonts w:hint="eastAsia" w:ascii="华文中宋" w:hAnsi="华文中宋" w:eastAsia="宋体" w:cs="MS Gothic"/>
          <w:bCs/>
          <w:color w:val="000000"/>
          <w:sz w:val="21"/>
          <w:szCs w:val="21"/>
        </w:rPr>
        <w:t>位</w:t>
      </w:r>
      <w:r>
        <w:rPr>
          <w:rFonts w:hint="eastAsia" w:ascii="华文中宋" w:hAnsi="华文中宋" w:eastAsia="宋体" w:cs="DFKai-SB"/>
          <w:color w:val="000000"/>
          <w:sz w:val="21"/>
          <w:szCs w:val="21"/>
        </w:rPr>
        <w:t>特</w:t>
      </w:r>
      <w:r>
        <w:rPr>
          <w:rFonts w:hint="eastAsia" w:ascii="华文中宋" w:hAnsi="华文中宋" w:eastAsia="宋体"/>
          <w:color w:val="000000"/>
          <w:sz w:val="21"/>
          <w:szCs w:val="21"/>
        </w:rPr>
        <w:t>约讲</w:t>
      </w:r>
      <w:r>
        <w:rPr>
          <w:rFonts w:hint="eastAsia" w:ascii="华文中宋" w:hAnsi="华文中宋" w:eastAsia="宋体" w:cs="DFKai-SB"/>
          <w:color w:val="000000"/>
          <w:sz w:val="21"/>
          <w:szCs w:val="21"/>
        </w:rPr>
        <w:t>座专家及</w:t>
      </w:r>
      <w:r>
        <w:rPr>
          <w:rFonts w:ascii="华文中宋" w:hAnsi="华文中宋" w:eastAsia="宋体" w:cs="DFKai-SB"/>
          <w:color w:val="000000"/>
          <w:sz w:val="21"/>
          <w:szCs w:val="21"/>
        </w:rPr>
        <w:t xml:space="preserve">AACSB </w:t>
      </w:r>
      <w:r>
        <w:rPr>
          <w:rFonts w:hint="eastAsia" w:ascii="华文中宋" w:hAnsi="华文中宋" w:eastAsia="宋体" w:cs="DFKai-SB"/>
          <w:color w:val="000000"/>
          <w:sz w:val="21"/>
          <w:szCs w:val="21"/>
        </w:rPr>
        <w:t>初次</w:t>
      </w:r>
      <w:r>
        <w:rPr>
          <w:rFonts w:hint="eastAsia" w:ascii="华文中宋" w:hAnsi="华文中宋" w:eastAsia="宋体"/>
          <w:color w:val="000000"/>
          <w:sz w:val="21"/>
          <w:szCs w:val="21"/>
        </w:rPr>
        <w:t>认证</w:t>
      </w:r>
      <w:r>
        <w:rPr>
          <w:rFonts w:hint="eastAsia" w:ascii="华文中宋" w:hAnsi="华文中宋" w:eastAsia="宋体" w:cs="DFKai-SB"/>
          <w:color w:val="000000"/>
          <w:sz w:val="21"/>
          <w:szCs w:val="21"/>
        </w:rPr>
        <w:t>委</w:t>
      </w:r>
      <w:r>
        <w:rPr>
          <w:rFonts w:hint="eastAsia" w:ascii="华文中宋" w:hAnsi="华文中宋" w:eastAsia="宋体"/>
          <w:color w:val="000000"/>
          <w:sz w:val="21"/>
          <w:szCs w:val="21"/>
        </w:rPr>
        <w:t>员会</w:t>
      </w:r>
      <w:r>
        <w:rPr>
          <w:rFonts w:ascii="华文中宋" w:hAnsi="华文中宋" w:eastAsia="宋体" w:cs="DFKai-SB"/>
          <w:color w:val="000000"/>
          <w:sz w:val="21"/>
          <w:szCs w:val="21"/>
        </w:rPr>
        <w:t>(initial accreditation committee, IAC)</w:t>
      </w:r>
      <w:r>
        <w:rPr>
          <w:rFonts w:hint="eastAsia" w:ascii="华文中宋" w:hAnsi="华文中宋" w:eastAsia="宋体" w:cs="DFKai-SB"/>
          <w:color w:val="000000"/>
          <w:sz w:val="21"/>
          <w:szCs w:val="21"/>
        </w:rPr>
        <w:t>第一位</w:t>
      </w:r>
      <w:r>
        <w:rPr>
          <w:rFonts w:hint="eastAsia" w:ascii="华文中宋" w:hAnsi="华文中宋" w:eastAsia="宋体"/>
          <w:color w:val="000000"/>
          <w:sz w:val="21"/>
          <w:szCs w:val="21"/>
        </w:rPr>
        <w:t>华</w:t>
      </w:r>
      <w:r>
        <w:rPr>
          <w:rFonts w:hint="eastAsia" w:ascii="华文中宋" w:hAnsi="华文中宋" w:eastAsia="宋体" w:cs="DFKai-SB"/>
          <w:color w:val="000000"/>
          <w:sz w:val="21"/>
          <w:szCs w:val="21"/>
        </w:rPr>
        <w:t>人委</w:t>
      </w:r>
      <w:r>
        <w:rPr>
          <w:rFonts w:hint="eastAsia" w:ascii="华文中宋" w:hAnsi="华文中宋" w:eastAsia="宋体"/>
          <w:color w:val="000000"/>
          <w:sz w:val="21"/>
          <w:szCs w:val="21"/>
        </w:rPr>
        <w:t>员</w:t>
      </w:r>
      <w:r>
        <w:rPr>
          <w:rFonts w:hint="eastAsia" w:ascii="华文中宋" w:hAnsi="华文中宋" w:eastAsia="宋体" w:cs="DFKai-SB"/>
          <w:color w:val="000000"/>
          <w:sz w:val="21"/>
          <w:szCs w:val="21"/>
        </w:rPr>
        <w:t>，具有丰富的</w:t>
      </w:r>
      <w:r>
        <w:rPr>
          <w:rFonts w:ascii="华文中宋" w:hAnsi="华文中宋" w:eastAsia="宋体" w:cs="DFKai-SB"/>
          <w:color w:val="000000"/>
          <w:sz w:val="21"/>
          <w:szCs w:val="21"/>
        </w:rPr>
        <w:t xml:space="preserve">AACSB </w:t>
      </w:r>
      <w:r>
        <w:rPr>
          <w:rFonts w:hint="eastAsia" w:ascii="华文中宋" w:hAnsi="华文中宋" w:eastAsia="宋体"/>
          <w:color w:val="000000"/>
          <w:sz w:val="21"/>
          <w:szCs w:val="21"/>
        </w:rPr>
        <w:t>认证经验</w:t>
      </w:r>
      <w:r>
        <w:rPr>
          <w:rFonts w:hint="eastAsia" w:ascii="华文中宋" w:hAnsi="华文中宋" w:eastAsia="宋体" w:cs="DFKai-SB"/>
          <w:color w:val="000000"/>
          <w:sz w:val="21"/>
          <w:szCs w:val="21"/>
        </w:rPr>
        <w:t>。</w:t>
      </w:r>
    </w:p>
    <w:bookmarkEnd w:id="0"/>
    <w:p>
      <w:pPr>
        <w:numPr>
          <w:ilvl w:val="0"/>
          <w:numId w:val="0"/>
        </w:numPr>
        <w:adjustRightInd w:val="0"/>
        <w:snapToGrid w:val="0"/>
        <w:ind w:firstLine="422" w:firstLineChars="200"/>
        <w:jc w:val="both"/>
        <w:rPr>
          <w:rFonts w:hint="eastAsia" w:ascii="华文中宋" w:hAnsi="华文中宋" w:eastAsia="宋体" w:cs="DFKai-SB"/>
          <w:b/>
          <w:bCs/>
          <w:color w:val="000000"/>
          <w:sz w:val="21"/>
          <w:szCs w:val="21"/>
          <w:lang w:val="en-US" w:eastAsia="zh-CN"/>
        </w:rPr>
      </w:pPr>
    </w:p>
    <w:p>
      <w:pPr>
        <w:jc w:val="both"/>
        <w:rPr>
          <w:rFonts w:hint="default"/>
          <w:b w:val="0"/>
          <w:bCs w:val="0"/>
          <w:lang w:val="en-US" w:eastAsia="zh-CN"/>
        </w:rPr>
      </w:pPr>
      <w:r>
        <w:rPr>
          <w:rFonts w:hint="eastAsia"/>
          <w:b/>
          <w:bCs/>
          <w:lang w:val="en-US" w:eastAsia="zh-CN"/>
        </w:rPr>
        <w:t>（二）2020年AACSB标准</w:t>
      </w:r>
    </w:p>
    <w:p>
      <w:pPr>
        <w:numPr>
          <w:ilvl w:val="0"/>
          <w:numId w:val="0"/>
        </w:numPr>
        <w:overflowPunct/>
        <w:ind w:leftChars="0"/>
        <w:jc w:val="both"/>
        <w:textAlignment w:val="auto"/>
        <w:rPr>
          <w:rFonts w:hint="default" w:ascii="Times New Roman" w:hAnsi="Times New Roman" w:cs="Times New Roman"/>
          <w:b/>
          <w:i w:val="0"/>
          <w:sz w:val="21"/>
          <w:u w:val="none"/>
          <w:lang w:val="en-US" w:eastAsia="zh-CN"/>
        </w:rPr>
      </w:pPr>
      <w:r>
        <w:rPr>
          <w:rFonts w:hint="default" w:ascii="Times New Roman" w:hAnsi="Times New Roman" w:eastAsia="宋体" w:cs="Times New Roman"/>
          <w:b/>
          <w:i w:val="0"/>
          <w:sz w:val="21"/>
          <w:u w:val="none"/>
          <w:lang w:eastAsia="zh-CN"/>
        </w:rPr>
        <w:t>Standard 1: Strategic Planning</w:t>
      </w:r>
      <w:r>
        <w:rPr>
          <w:rFonts w:hint="default" w:ascii="Times New Roman" w:hAnsi="Times New Roman" w:cs="Times New Roman"/>
          <w:b/>
          <w:i w:val="0"/>
          <w:sz w:val="21"/>
          <w:u w:val="none"/>
          <w:lang w:val="en-US" w:eastAsia="zh-CN"/>
        </w:rPr>
        <w:t xml:space="preserve"> </w:t>
      </w:r>
    </w:p>
    <w:p>
      <w:pPr>
        <w:numPr>
          <w:ilvl w:val="0"/>
          <w:numId w:val="0"/>
        </w:numPr>
        <w:overflowPunct/>
        <w:ind w:leftChars="0"/>
        <w:jc w:val="both"/>
        <w:textAlignment w:val="auto"/>
        <w:rPr>
          <w:rFonts w:hint="eastAsia" w:ascii="楷体" w:hAnsi="楷体" w:eastAsia="楷体" w:cs="楷体"/>
          <w:b/>
          <w:i w:val="0"/>
          <w:sz w:val="21"/>
          <w:u w:val="none"/>
          <w:lang w:val="en-US" w:eastAsia="zh-CN"/>
        </w:rPr>
      </w:pPr>
      <w:r>
        <w:rPr>
          <w:rFonts w:hint="eastAsia" w:ascii="楷体" w:hAnsi="楷体" w:eastAsia="楷体" w:cs="楷体"/>
          <w:b/>
          <w:i w:val="0"/>
          <w:sz w:val="21"/>
          <w:u w:val="none"/>
          <w:lang w:val="en-US" w:eastAsia="zh-CN"/>
        </w:rPr>
        <w:t>标准1：战略规划</w:t>
      </w:r>
    </w:p>
    <w:p>
      <w:pPr>
        <w:numPr>
          <w:ilvl w:val="0"/>
          <w:numId w:val="0"/>
        </w:numPr>
        <w:overflowPunct/>
        <w:ind w:leftChars="0"/>
        <w:jc w:val="left"/>
        <w:textAlignment w:val="auto"/>
        <w:rPr>
          <w:rFonts w:hint="default" w:ascii="Times New Roman" w:hAnsi="Times New Roman" w:eastAsia="宋体" w:cs="Times New Roman"/>
          <w:b w:val="0"/>
          <w:i w:val="0"/>
          <w:sz w:val="21"/>
          <w:u w:val="none"/>
          <w:lang w:val="en-US" w:eastAsia="zh-CN"/>
        </w:rPr>
      </w:pPr>
      <w:r>
        <w:rPr>
          <w:rFonts w:hint="default" w:ascii="Times New Roman" w:hAnsi="Times New Roman" w:cs="Times New Roman"/>
          <w:b/>
          <w:bCs/>
          <w:i w:val="0"/>
          <w:sz w:val="21"/>
          <w:u w:val="none"/>
          <w:lang w:val="en-US" w:eastAsia="zh-CN"/>
        </w:rPr>
        <w:t xml:space="preserve">1.1 </w:t>
      </w:r>
      <w:r>
        <w:rPr>
          <w:rFonts w:hint="default" w:ascii="Times New Roman" w:hAnsi="Times New Roman" w:eastAsia="宋体" w:cs="Times New Roman"/>
          <w:b w:val="0"/>
          <w:i w:val="0"/>
          <w:sz w:val="21"/>
          <w:u w:val="none"/>
          <w:lang w:eastAsia="zh-CN"/>
        </w:rPr>
        <w:t>The school maintains a well-documented strategic plan,developed through a robust and collaborative planning process involving key stakeholder input, that informs the school on resource allocation priorities. The strategic plan should also articulate a clear and distinctive mission for the school</w:t>
      </w:r>
      <w:r>
        <w:rPr>
          <w:rFonts w:hint="default" w:ascii="Times New Roman" w:hAnsi="Times New Roman" w:cs="Times New Roman"/>
          <w:b w:val="0"/>
          <w:i w:val="0"/>
          <w:sz w:val="21"/>
          <w:u w:val="none"/>
          <w:lang w:val="en-US" w:eastAsia="zh-CN"/>
        </w:rPr>
        <w:t>.</w:t>
      </w:r>
    </w:p>
    <w:p>
      <w:pPr>
        <w:numPr>
          <w:ilvl w:val="0"/>
          <w:numId w:val="0"/>
        </w:numPr>
        <w:overflowPunct/>
        <w:ind w:leftChars="0"/>
        <w:jc w:val="left"/>
        <w:textAlignment w:val="auto"/>
        <w:rPr>
          <w:rFonts w:hint="default" w:ascii="Times New Roman" w:hAnsi="Times New Roman" w:eastAsia="宋体" w:cs="Times New Roman"/>
          <w:b w:val="0"/>
          <w:i w:val="0"/>
          <w:sz w:val="21"/>
          <w:u w:val="none"/>
          <w:lang w:val="en-US" w:eastAsia="zh-CN"/>
        </w:rPr>
      </w:pPr>
      <w:r>
        <w:rPr>
          <w:rFonts w:hint="default" w:ascii="Times New Roman" w:hAnsi="Times New Roman" w:cs="Times New Roman"/>
          <w:b/>
          <w:bCs/>
          <w:i w:val="0"/>
          <w:sz w:val="21"/>
          <w:u w:val="none"/>
          <w:lang w:val="en-US" w:eastAsia="zh-CN"/>
        </w:rPr>
        <w:t xml:space="preserve">1.2 </w:t>
      </w:r>
      <w:r>
        <w:rPr>
          <w:rFonts w:hint="default" w:ascii="Times New Roman" w:hAnsi="Times New Roman" w:eastAsia="宋体" w:cs="Times New Roman"/>
          <w:b w:val="0"/>
          <w:i w:val="0"/>
          <w:sz w:val="21"/>
          <w:u w:val="none"/>
          <w:lang w:eastAsia="zh-CN"/>
        </w:rPr>
        <w:t>The school regularly monitors its progress against its planned strategies and expected outcomes and communicates its progress to key stakeholders. As part of monitoring, the school conducts formal risk analysis and has plans to mitigate identified major risks</w:t>
      </w:r>
      <w:r>
        <w:rPr>
          <w:rFonts w:hint="default" w:ascii="Times New Roman" w:hAnsi="Times New Roman" w:cs="Times New Roman"/>
          <w:b w:val="0"/>
          <w:i w:val="0"/>
          <w:sz w:val="21"/>
          <w:u w:val="none"/>
          <w:lang w:val="en-US" w:eastAsia="zh-CN"/>
        </w:rPr>
        <w:t>.</w:t>
      </w:r>
    </w:p>
    <w:p>
      <w:pPr>
        <w:numPr>
          <w:ilvl w:val="0"/>
          <w:numId w:val="0"/>
        </w:numPr>
        <w:overflowPunct/>
        <w:ind w:leftChars="0"/>
        <w:jc w:val="left"/>
        <w:textAlignment w:val="auto"/>
        <w:rPr>
          <w:rFonts w:hint="default" w:ascii="Times New Roman" w:hAnsi="Times New Roman" w:eastAsia="宋体" w:cs="Times New Roman"/>
          <w:b w:val="0"/>
          <w:i w:val="0"/>
          <w:sz w:val="21"/>
          <w:u w:val="none"/>
          <w:lang w:eastAsia="zh-CN"/>
        </w:rPr>
      </w:pPr>
      <w:r>
        <w:rPr>
          <w:rFonts w:hint="default" w:ascii="Times New Roman" w:hAnsi="Times New Roman" w:cs="Times New Roman"/>
          <w:b/>
          <w:bCs/>
          <w:i w:val="0"/>
          <w:sz w:val="21"/>
          <w:u w:val="none"/>
          <w:lang w:val="en-US" w:eastAsia="zh-CN"/>
        </w:rPr>
        <w:t>1.3</w:t>
      </w:r>
      <w:r>
        <w:rPr>
          <w:rFonts w:hint="eastAsia" w:ascii="Times New Roman" w:hAnsi="Times New Roman" w:cs="Times New Roman"/>
          <w:b/>
          <w:bCs/>
          <w:i w:val="0"/>
          <w:sz w:val="21"/>
          <w:u w:val="none"/>
          <w:lang w:val="en-US" w:eastAsia="zh-CN"/>
        </w:rPr>
        <w:t xml:space="preserve"> </w:t>
      </w:r>
      <w:r>
        <w:rPr>
          <w:rFonts w:hint="default" w:ascii="Times New Roman" w:hAnsi="Times New Roman" w:eastAsia="宋体" w:cs="Times New Roman"/>
          <w:b w:val="0"/>
          <w:i w:val="0"/>
          <w:sz w:val="21"/>
          <w:u w:val="none"/>
          <w:lang w:eastAsia="zh-CN"/>
        </w:rPr>
        <w:t>As the school carries out its mission, it embraces innovation as a key element of continuous improvement</w:t>
      </w:r>
      <w:r>
        <w:rPr>
          <w:rFonts w:hint="eastAsia" w:ascii="Times New Roman" w:hAnsi="Times New Roman" w:cs="Times New Roman"/>
          <w:b w:val="0"/>
          <w:i w:val="0"/>
          <w:sz w:val="21"/>
          <w:u w:val="none"/>
          <w:lang w:val="en-US" w:eastAsia="zh-CN"/>
        </w:rPr>
        <w:t>.</w:t>
      </w:r>
      <w:r>
        <w:rPr>
          <w:rFonts w:hint="default" w:ascii="Times New Roman" w:hAnsi="Times New Roman" w:eastAsia="宋体" w:cs="Times New Roman"/>
          <w:b w:val="0"/>
          <w:i w:val="0"/>
          <w:sz w:val="21"/>
          <w:u w:val="none"/>
          <w:lang w:eastAsia="zh-CN"/>
        </w:rPr>
        <w:t xml:space="preserve"> </w:t>
      </w:r>
    </w:p>
    <w:p>
      <w:pPr>
        <w:numPr>
          <w:ilvl w:val="0"/>
          <w:numId w:val="0"/>
        </w:numPr>
        <w:overflowPunct/>
        <w:ind w:leftChars="0"/>
        <w:jc w:val="left"/>
        <w:textAlignment w:val="auto"/>
        <w:rPr>
          <w:rFonts w:hint="default" w:ascii="Times New Roman" w:hAnsi="Times New Roman" w:eastAsia="宋体" w:cs="Times New Roman"/>
          <w:b w:val="0"/>
          <w:i w:val="0"/>
          <w:sz w:val="21"/>
          <w:u w:val="none"/>
          <w:lang w:val="en-US" w:eastAsia="zh-CN"/>
        </w:rPr>
      </w:pPr>
      <w:r>
        <w:rPr>
          <w:rFonts w:hint="default" w:ascii="Times New Roman" w:hAnsi="Times New Roman" w:cs="Times New Roman"/>
          <w:b/>
          <w:bCs/>
          <w:i w:val="0"/>
          <w:sz w:val="21"/>
          <w:u w:val="none"/>
          <w:lang w:val="en-US" w:eastAsia="zh-CN"/>
        </w:rPr>
        <w:t>1.4</w:t>
      </w:r>
      <w:r>
        <w:rPr>
          <w:rFonts w:hint="eastAsia" w:ascii="Times New Roman" w:hAnsi="Times New Roman" w:cs="Times New Roman"/>
          <w:b/>
          <w:bCs/>
          <w:i w:val="0"/>
          <w:sz w:val="21"/>
          <w:u w:val="none"/>
          <w:lang w:val="en-US" w:eastAsia="zh-CN"/>
        </w:rPr>
        <w:t xml:space="preserve"> </w:t>
      </w:r>
      <w:r>
        <w:rPr>
          <w:rFonts w:hint="default" w:ascii="Times New Roman" w:hAnsi="Times New Roman" w:eastAsia="宋体" w:cs="Times New Roman"/>
          <w:b w:val="0"/>
          <w:i w:val="0"/>
          <w:sz w:val="21"/>
          <w:u w:val="none"/>
          <w:lang w:eastAsia="zh-CN"/>
        </w:rPr>
        <w:t>The School demonstrates a commitment to positive societal impact as expressed in and supported by its distinctive mission and specified how it intends to achieve this impact</w:t>
      </w:r>
      <w:r>
        <w:rPr>
          <w:rFonts w:hint="default" w:ascii="Times New Roman" w:hAnsi="Times New Roman" w:cs="Times New Roman"/>
          <w:b w:val="0"/>
          <w:i w:val="0"/>
          <w:sz w:val="21"/>
          <w:u w:val="none"/>
          <w:lang w:val="en-US" w:eastAsia="zh-CN"/>
        </w:rPr>
        <w:t>.</w:t>
      </w:r>
    </w:p>
    <w:p>
      <w:pPr>
        <w:numPr>
          <w:ilvl w:val="0"/>
          <w:numId w:val="0"/>
        </w:numPr>
        <w:overflowPunct/>
        <w:ind w:leftChars="0"/>
        <w:jc w:val="left"/>
        <w:textAlignment w:val="auto"/>
        <w:rPr>
          <w:rFonts w:hint="eastAsia" w:ascii="宋体" w:hAnsi="宋体" w:eastAsia="宋体" w:cs="宋体"/>
          <w:b w:val="0"/>
          <w:i w:val="0"/>
          <w:sz w:val="21"/>
          <w:u w:val="none"/>
          <w:lang w:eastAsia="zh-CN"/>
        </w:rPr>
      </w:pPr>
    </w:p>
    <w:p>
      <w:pPr>
        <w:numPr>
          <w:ilvl w:val="0"/>
          <w:numId w:val="0"/>
        </w:numPr>
        <w:overflowPunct/>
        <w:ind w:leftChars="0"/>
        <w:jc w:val="both"/>
        <w:textAlignment w:val="auto"/>
        <w:rPr>
          <w:rFonts w:hint="eastAsia" w:ascii="Times New Roman" w:hAnsi="Times New Roman" w:eastAsia="宋体" w:cs="Times New Roman"/>
          <w:b/>
          <w:i w:val="0"/>
          <w:sz w:val="21"/>
          <w:u w:val="none"/>
          <w:lang w:eastAsia="zh-CN"/>
        </w:rPr>
      </w:pPr>
      <w:r>
        <w:rPr>
          <w:rFonts w:hint="eastAsia" w:ascii="Times New Roman" w:hAnsi="Times New Roman" w:eastAsia="宋体" w:cs="Times New Roman"/>
          <w:b/>
          <w:i w:val="0"/>
          <w:sz w:val="21"/>
          <w:u w:val="none"/>
          <w:lang w:eastAsia="zh-CN"/>
        </w:rPr>
        <w:t>Standard 2: Physical, Virtual, and Financial Resources</w:t>
      </w:r>
    </w:p>
    <w:p>
      <w:pPr>
        <w:numPr>
          <w:ilvl w:val="0"/>
          <w:numId w:val="0"/>
        </w:numPr>
        <w:overflowPunct/>
        <w:ind w:leftChars="0"/>
        <w:jc w:val="both"/>
        <w:textAlignment w:val="auto"/>
        <w:rPr>
          <w:rFonts w:hint="default" w:ascii="楷体" w:hAnsi="楷体" w:eastAsia="楷体" w:cs="楷体"/>
          <w:b/>
          <w:i w:val="0"/>
          <w:sz w:val="21"/>
          <w:u w:val="none"/>
          <w:lang w:val="en-US" w:eastAsia="zh-CN"/>
        </w:rPr>
      </w:pPr>
      <w:r>
        <w:rPr>
          <w:rFonts w:hint="eastAsia" w:ascii="楷体" w:hAnsi="楷体" w:eastAsia="楷体" w:cs="楷体"/>
          <w:b/>
          <w:i w:val="0"/>
          <w:sz w:val="21"/>
          <w:u w:val="none"/>
          <w:lang w:val="en-US" w:eastAsia="zh-CN"/>
        </w:rPr>
        <w:t>标准2：</w:t>
      </w:r>
      <w:r>
        <w:rPr>
          <w:rFonts w:hint="default" w:ascii="楷体" w:hAnsi="楷体" w:eastAsia="楷体" w:cs="楷体"/>
          <w:b/>
          <w:i w:val="0"/>
          <w:sz w:val="21"/>
          <w:u w:val="none"/>
          <w:lang w:val="en-US" w:eastAsia="zh-CN"/>
        </w:rPr>
        <w:t>硬软件财政资源</w:t>
      </w:r>
    </w:p>
    <w:p>
      <w:pPr>
        <w:numPr>
          <w:ilvl w:val="0"/>
          <w:numId w:val="0"/>
        </w:numPr>
        <w:overflowPunct/>
        <w:ind w:leftChars="0"/>
        <w:jc w:val="both"/>
        <w:textAlignment w:val="auto"/>
        <w:rPr>
          <w:rFonts w:hint="default" w:ascii="Times New Roman" w:hAnsi="Times New Roman" w:eastAsia="宋体" w:cs="Times New Roman"/>
          <w:b w:val="0"/>
          <w:i w:val="0"/>
          <w:sz w:val="21"/>
          <w:u w:val="none"/>
          <w:lang w:val="en-US" w:eastAsia="zh-CN"/>
        </w:rPr>
      </w:pPr>
      <w:r>
        <w:rPr>
          <w:rFonts w:hint="eastAsia" w:ascii="Times New Roman" w:hAnsi="Times New Roman" w:eastAsia="宋体" w:cs="Times New Roman"/>
          <w:b w:val="0"/>
          <w:i w:val="0"/>
          <w:sz w:val="21"/>
          <w:u w:val="none"/>
          <w:lang w:eastAsia="zh-CN"/>
        </w:rPr>
        <w:t>The school manages its physical, virtual, and financial resources to sustain the school on an ongoing basis and to promote a high-quality environment that fosters success of all participants in support of the schoo</w:t>
      </w:r>
      <w:r>
        <w:rPr>
          <w:rFonts w:hint="eastAsia" w:ascii="Times New Roman" w:hAnsi="Times New Roman" w:cs="Times New Roman"/>
          <w:b w:val="0"/>
          <w:i w:val="0"/>
          <w:sz w:val="21"/>
          <w:u w:val="none"/>
          <w:lang w:val="en-US" w:eastAsia="zh-CN"/>
        </w:rPr>
        <w:t>l</w:t>
      </w:r>
      <w:r>
        <w:rPr>
          <w:rFonts w:hint="default" w:ascii="Times New Roman" w:hAnsi="Times New Roman" w:cs="Times New Roman"/>
          <w:b w:val="0"/>
          <w:i w:val="0"/>
          <w:sz w:val="21"/>
          <w:u w:val="none"/>
          <w:lang w:val="en-US" w:eastAsia="zh-CN"/>
        </w:rPr>
        <w:t>’</w:t>
      </w:r>
      <w:r>
        <w:rPr>
          <w:rFonts w:hint="eastAsia" w:ascii="Times New Roman" w:hAnsi="Times New Roman" w:eastAsia="宋体" w:cs="Times New Roman"/>
          <w:b w:val="0"/>
          <w:i w:val="0"/>
          <w:sz w:val="21"/>
          <w:u w:val="none"/>
          <w:lang w:eastAsia="zh-CN"/>
        </w:rPr>
        <w:t>s mission, strategies, and expected outcomes</w:t>
      </w:r>
      <w:r>
        <w:rPr>
          <w:rFonts w:hint="eastAsia" w:ascii="Times New Roman" w:hAnsi="Times New Roman" w:cs="Times New Roman"/>
          <w:b w:val="0"/>
          <w:i w:val="0"/>
          <w:sz w:val="21"/>
          <w:u w:val="none"/>
          <w:lang w:val="en-US" w:eastAsia="zh-CN"/>
        </w:rPr>
        <w:t>.</w:t>
      </w:r>
    </w:p>
    <w:p>
      <w:pPr>
        <w:numPr>
          <w:ilvl w:val="0"/>
          <w:numId w:val="0"/>
        </w:numPr>
        <w:overflowPunct/>
        <w:ind w:leftChars="0"/>
        <w:jc w:val="both"/>
        <w:textAlignment w:val="auto"/>
        <w:rPr>
          <w:rFonts w:hint="default" w:ascii="Times New Roman" w:hAnsi="Times New Roman" w:eastAsia="宋体" w:cs="Times New Roman"/>
          <w:b/>
          <w:i w:val="0"/>
          <w:sz w:val="21"/>
          <w:u w:val="none"/>
          <w:lang w:eastAsia="zh-CN"/>
        </w:rPr>
      </w:pPr>
    </w:p>
    <w:p>
      <w:pPr>
        <w:numPr>
          <w:ilvl w:val="0"/>
          <w:numId w:val="0"/>
        </w:numPr>
        <w:overflowPunct/>
        <w:ind w:leftChars="0"/>
        <w:jc w:val="both"/>
        <w:textAlignment w:val="auto"/>
        <w:rPr>
          <w:rFonts w:hint="default" w:ascii="Times New Roman" w:hAnsi="Times New Roman" w:eastAsia="宋体" w:cs="Times New Roman"/>
          <w:b/>
          <w:i w:val="0"/>
          <w:sz w:val="21"/>
          <w:u w:val="none"/>
          <w:lang w:eastAsia="zh-CN"/>
        </w:rPr>
      </w:pPr>
      <w:r>
        <w:rPr>
          <w:rFonts w:hint="default" w:ascii="Times New Roman" w:hAnsi="Times New Roman" w:eastAsia="宋体" w:cs="Times New Roman"/>
          <w:b/>
          <w:i w:val="0"/>
          <w:sz w:val="21"/>
          <w:u w:val="none"/>
          <w:lang w:eastAsia="zh-CN"/>
        </w:rPr>
        <w:t>Standard 3: Faculty and Professional Staff Resources</w:t>
      </w:r>
    </w:p>
    <w:p>
      <w:pPr>
        <w:numPr>
          <w:ilvl w:val="0"/>
          <w:numId w:val="0"/>
        </w:numPr>
        <w:overflowPunct/>
        <w:ind w:leftChars="0"/>
        <w:jc w:val="both"/>
        <w:textAlignment w:val="auto"/>
        <w:rPr>
          <w:rFonts w:hint="default" w:ascii="楷体" w:hAnsi="楷体" w:eastAsia="楷体" w:cs="楷体"/>
          <w:b/>
          <w:i w:val="0"/>
          <w:sz w:val="21"/>
          <w:u w:val="none"/>
          <w:lang w:val="en-US" w:eastAsia="zh-CN"/>
        </w:rPr>
      </w:pPr>
      <w:r>
        <w:rPr>
          <w:rFonts w:hint="eastAsia" w:ascii="楷体" w:hAnsi="楷体" w:eastAsia="楷体" w:cs="楷体"/>
          <w:b/>
          <w:i w:val="0"/>
          <w:sz w:val="21"/>
          <w:u w:val="none"/>
          <w:lang w:val="en-US" w:eastAsia="zh-CN"/>
        </w:rPr>
        <w:t>标准3：</w:t>
      </w:r>
      <w:r>
        <w:rPr>
          <w:rFonts w:hint="default" w:ascii="楷体" w:hAnsi="楷体" w:eastAsia="楷体" w:cs="楷体"/>
          <w:b/>
          <w:i w:val="0"/>
          <w:sz w:val="21"/>
          <w:u w:val="none"/>
          <w:lang w:val="en-US" w:eastAsia="zh-CN"/>
        </w:rPr>
        <w:t>教授及全体技术职工资源</w:t>
      </w:r>
    </w:p>
    <w:p>
      <w:pPr>
        <w:numPr>
          <w:ilvl w:val="0"/>
          <w:numId w:val="0"/>
        </w:numPr>
        <w:overflowPunct/>
        <w:ind w:leftChars="0"/>
        <w:jc w:val="left"/>
        <w:textAlignment w:val="auto"/>
        <w:rPr>
          <w:rFonts w:hint="default" w:ascii="Times New Roman" w:hAnsi="Times New Roman" w:eastAsia="宋体" w:cs="Times New Roman"/>
          <w:b w:val="0"/>
          <w:i w:val="0"/>
          <w:sz w:val="21"/>
          <w:u w:val="none"/>
          <w:lang w:eastAsia="zh-CN"/>
        </w:rPr>
      </w:pPr>
      <w:r>
        <w:rPr>
          <w:rFonts w:hint="eastAsia" w:ascii="Times New Roman" w:hAnsi="Times New Roman" w:cs="Times New Roman"/>
          <w:b/>
          <w:bCs/>
          <w:i w:val="0"/>
          <w:sz w:val="21"/>
          <w:u w:val="none"/>
          <w:lang w:val="en-US" w:eastAsia="zh-CN"/>
        </w:rPr>
        <w:t xml:space="preserve">3.1 </w:t>
      </w:r>
      <w:r>
        <w:rPr>
          <w:rFonts w:hint="default" w:ascii="Times New Roman" w:hAnsi="Times New Roman" w:eastAsia="宋体" w:cs="Times New Roman"/>
          <w:b w:val="0"/>
          <w:i w:val="0"/>
          <w:sz w:val="21"/>
          <w:u w:val="none"/>
          <w:lang w:eastAsia="zh-CN"/>
        </w:rPr>
        <w:t xml:space="preserve">The school maintains and strategically deploys a sufficient cadre of participating (P) and supporting (S) faculty who collectively demonstrate significant academic and professional engagement that, in turn, supports high-quality outcomes consistent with the school’s mission. </w:t>
      </w:r>
    </w:p>
    <w:p>
      <w:pPr>
        <w:numPr>
          <w:ilvl w:val="0"/>
          <w:numId w:val="0"/>
        </w:numPr>
        <w:overflowPunct/>
        <w:ind w:leftChars="0"/>
        <w:jc w:val="left"/>
        <w:textAlignment w:val="auto"/>
        <w:rPr>
          <w:rFonts w:hint="default" w:ascii="Times New Roman" w:hAnsi="Times New Roman" w:eastAsia="宋体" w:cs="Times New Roman"/>
          <w:b w:val="0"/>
          <w:i w:val="0"/>
          <w:sz w:val="21"/>
          <w:u w:val="none"/>
          <w:lang w:eastAsia="zh-CN"/>
        </w:rPr>
      </w:pPr>
      <w:r>
        <w:rPr>
          <w:rFonts w:hint="eastAsia" w:ascii="Times New Roman" w:hAnsi="Times New Roman" w:cs="Times New Roman"/>
          <w:b/>
          <w:bCs/>
          <w:i w:val="0"/>
          <w:sz w:val="21"/>
          <w:u w:val="none"/>
          <w:lang w:val="en-US" w:eastAsia="zh-CN"/>
        </w:rPr>
        <w:t xml:space="preserve">3.2 </w:t>
      </w:r>
      <w:r>
        <w:rPr>
          <w:rFonts w:hint="default" w:ascii="Times New Roman" w:hAnsi="Times New Roman" w:eastAsia="宋体" w:cs="Times New Roman"/>
          <w:b w:val="0"/>
          <w:i w:val="0"/>
          <w:sz w:val="21"/>
          <w:u w:val="none"/>
          <w:lang w:eastAsia="zh-CN"/>
        </w:rPr>
        <w:t xml:space="preserve">Faculty are qualified in initial academic or professional preparation and sustain currency and relevancy appropriate to their classification, as follows: Scholarly Academic (SA), Practice Academic (PA), Scholarly Practitioner (SP), or Instructional Practitioner (IP). Faculty members who do not meet the definitions of any of these categories are classified as Additional Faculty (A). </w:t>
      </w:r>
    </w:p>
    <w:p>
      <w:pPr>
        <w:numPr>
          <w:ilvl w:val="0"/>
          <w:numId w:val="0"/>
        </w:numPr>
        <w:overflowPunct/>
        <w:ind w:leftChars="0"/>
        <w:jc w:val="left"/>
        <w:textAlignment w:val="auto"/>
        <w:rPr>
          <w:rFonts w:hint="default" w:ascii="Times New Roman" w:hAnsi="Times New Roman" w:eastAsia="宋体" w:cs="Times New Roman"/>
          <w:b w:val="0"/>
          <w:i w:val="0"/>
          <w:sz w:val="21"/>
          <w:u w:val="none"/>
          <w:lang w:eastAsia="zh-CN"/>
        </w:rPr>
      </w:pPr>
      <w:r>
        <w:rPr>
          <w:rFonts w:hint="eastAsia" w:ascii="Times New Roman" w:hAnsi="Times New Roman" w:cs="Times New Roman"/>
          <w:b/>
          <w:bCs/>
          <w:i w:val="0"/>
          <w:sz w:val="21"/>
          <w:u w:val="none"/>
          <w:lang w:val="en-US" w:eastAsia="zh-CN"/>
        </w:rPr>
        <w:t>3.3</w:t>
      </w:r>
      <w:r>
        <w:rPr>
          <w:rFonts w:hint="eastAsia" w:ascii="Times New Roman" w:hAnsi="Times New Roman" w:cs="Times New Roman"/>
          <w:b w:val="0"/>
          <w:i w:val="0"/>
          <w:sz w:val="21"/>
          <w:u w:val="none"/>
          <w:lang w:val="en-US" w:eastAsia="zh-CN"/>
        </w:rPr>
        <w:t xml:space="preserve"> </w:t>
      </w:r>
      <w:r>
        <w:rPr>
          <w:rFonts w:hint="default" w:ascii="Times New Roman" w:hAnsi="Times New Roman" w:eastAsia="宋体" w:cs="Times New Roman"/>
          <w:b w:val="0"/>
          <w:i w:val="0"/>
          <w:sz w:val="21"/>
          <w:u w:val="none"/>
          <w:lang w:eastAsia="zh-CN"/>
        </w:rPr>
        <w:t>Sufficient professional staff are available to ensure high-quality support for faculty and students as appropriate.</w:t>
      </w:r>
    </w:p>
    <w:p>
      <w:pPr>
        <w:numPr>
          <w:ilvl w:val="0"/>
          <w:numId w:val="0"/>
        </w:numPr>
        <w:overflowPunct/>
        <w:ind w:leftChars="0"/>
        <w:jc w:val="both"/>
        <w:textAlignment w:val="auto"/>
        <w:rPr>
          <w:rFonts w:hint="default" w:ascii="Times New Roman" w:hAnsi="Times New Roman" w:eastAsia="宋体" w:cs="Times New Roman"/>
          <w:b w:val="0"/>
          <w:i w:val="0"/>
          <w:sz w:val="21"/>
          <w:u w:val="none"/>
          <w:lang w:eastAsia="zh-CN"/>
        </w:rPr>
      </w:pPr>
      <w:r>
        <w:rPr>
          <w:rFonts w:hint="eastAsia" w:ascii="Times New Roman" w:hAnsi="Times New Roman" w:cs="Times New Roman"/>
          <w:b/>
          <w:bCs/>
          <w:i w:val="0"/>
          <w:sz w:val="21"/>
          <w:u w:val="none"/>
          <w:lang w:val="en-US" w:eastAsia="zh-CN"/>
        </w:rPr>
        <w:t xml:space="preserve">3.4 </w:t>
      </w:r>
      <w:r>
        <w:rPr>
          <w:rFonts w:hint="default" w:ascii="Times New Roman" w:hAnsi="Times New Roman" w:eastAsia="宋体" w:cs="Times New Roman"/>
          <w:b w:val="0"/>
          <w:i w:val="0"/>
          <w:sz w:val="21"/>
          <w:u w:val="none"/>
          <w:lang w:eastAsia="zh-CN"/>
        </w:rPr>
        <w:t xml:space="preserve">The school has well-documented and well-communicated processes to manage, develop, and </w:t>
      </w:r>
    </w:p>
    <w:p>
      <w:pPr>
        <w:numPr>
          <w:ilvl w:val="0"/>
          <w:numId w:val="0"/>
        </w:numPr>
        <w:overflowPunct/>
        <w:ind w:leftChars="0"/>
        <w:jc w:val="both"/>
        <w:textAlignment w:val="auto"/>
        <w:rPr>
          <w:rFonts w:hint="default" w:ascii="Times New Roman" w:hAnsi="Times New Roman" w:eastAsia="宋体" w:cs="Times New Roman"/>
          <w:b w:val="0"/>
          <w:i w:val="0"/>
          <w:sz w:val="21"/>
          <w:u w:val="none"/>
          <w:lang w:eastAsia="zh-CN"/>
        </w:rPr>
      </w:pPr>
      <w:r>
        <w:rPr>
          <w:rFonts w:hint="default" w:ascii="Times New Roman" w:hAnsi="Times New Roman" w:eastAsia="宋体" w:cs="Times New Roman"/>
          <w:b w:val="0"/>
          <w:i w:val="0"/>
          <w:sz w:val="21"/>
          <w:u w:val="none"/>
          <w:lang w:eastAsia="zh-CN"/>
        </w:rPr>
        <w:t xml:space="preserve">support faculty and staff over the progression of their careers that are consistent with the school’s </w:t>
      </w:r>
    </w:p>
    <w:p>
      <w:pPr>
        <w:numPr>
          <w:ilvl w:val="0"/>
          <w:numId w:val="0"/>
        </w:numPr>
        <w:overflowPunct/>
        <w:ind w:leftChars="0"/>
        <w:jc w:val="both"/>
        <w:textAlignment w:val="auto"/>
        <w:rPr>
          <w:rFonts w:hint="eastAsia" w:ascii="Times New Roman" w:hAnsi="Times New Roman" w:cs="Times New Roman"/>
          <w:b w:val="0"/>
          <w:i w:val="0"/>
          <w:sz w:val="21"/>
          <w:u w:val="none"/>
          <w:lang w:val="en-US" w:eastAsia="zh-CN"/>
        </w:rPr>
      </w:pPr>
      <w:r>
        <w:rPr>
          <w:rFonts w:hint="default" w:ascii="Times New Roman" w:hAnsi="Times New Roman" w:eastAsia="宋体" w:cs="Times New Roman"/>
          <w:b w:val="0"/>
          <w:i w:val="0"/>
          <w:sz w:val="21"/>
          <w:u w:val="none"/>
          <w:lang w:eastAsia="zh-CN"/>
        </w:rPr>
        <w:t>mission, strategies, and expected outcomes</w:t>
      </w:r>
      <w:r>
        <w:rPr>
          <w:rFonts w:hint="eastAsia" w:ascii="Times New Roman" w:hAnsi="Times New Roman" w:cs="Times New Roman"/>
          <w:b w:val="0"/>
          <w:i w:val="0"/>
          <w:sz w:val="21"/>
          <w:u w:val="none"/>
          <w:lang w:val="en-US" w:eastAsia="zh-CN"/>
        </w:rPr>
        <w:t>.</w:t>
      </w:r>
    </w:p>
    <w:p>
      <w:pPr>
        <w:numPr>
          <w:ilvl w:val="0"/>
          <w:numId w:val="0"/>
        </w:numPr>
        <w:overflowPunct/>
        <w:ind w:leftChars="0"/>
        <w:jc w:val="both"/>
        <w:textAlignment w:val="auto"/>
        <w:rPr>
          <w:rFonts w:hint="default" w:ascii="Times New Roman" w:hAnsi="Times New Roman" w:eastAsia="宋体" w:cs="Times New Roman"/>
          <w:b/>
          <w:i w:val="0"/>
          <w:sz w:val="21"/>
          <w:u w:val="none"/>
          <w:lang w:eastAsia="zh-CN"/>
        </w:rPr>
      </w:pPr>
    </w:p>
    <w:p>
      <w:pPr>
        <w:numPr>
          <w:ilvl w:val="0"/>
          <w:numId w:val="0"/>
        </w:numPr>
        <w:overflowPunct/>
        <w:ind w:leftChars="0"/>
        <w:jc w:val="both"/>
        <w:textAlignment w:val="auto"/>
        <w:rPr>
          <w:rFonts w:hint="default" w:ascii="Times New Roman" w:hAnsi="Times New Roman" w:eastAsia="宋体" w:cs="Times New Roman"/>
          <w:b/>
          <w:i w:val="0"/>
          <w:sz w:val="21"/>
          <w:u w:val="none"/>
          <w:lang w:eastAsia="zh-CN"/>
        </w:rPr>
      </w:pPr>
      <w:r>
        <w:rPr>
          <w:rFonts w:hint="default" w:ascii="Times New Roman" w:hAnsi="Times New Roman" w:eastAsia="宋体" w:cs="Times New Roman"/>
          <w:b/>
          <w:i w:val="0"/>
          <w:sz w:val="21"/>
          <w:u w:val="none"/>
          <w:lang w:eastAsia="zh-CN"/>
        </w:rPr>
        <w:t>Standard 4: Curriculum</w:t>
      </w:r>
    </w:p>
    <w:p>
      <w:pPr>
        <w:numPr>
          <w:ilvl w:val="0"/>
          <w:numId w:val="0"/>
        </w:numPr>
        <w:overflowPunct/>
        <w:ind w:leftChars="0"/>
        <w:jc w:val="both"/>
        <w:textAlignment w:val="auto"/>
        <w:rPr>
          <w:rFonts w:hint="default" w:ascii="楷体" w:hAnsi="楷体" w:eastAsia="楷体" w:cs="楷体"/>
          <w:b/>
          <w:i w:val="0"/>
          <w:sz w:val="21"/>
          <w:u w:val="none"/>
          <w:lang w:val="en-US" w:eastAsia="zh-CN"/>
        </w:rPr>
      </w:pPr>
      <w:r>
        <w:rPr>
          <w:rFonts w:hint="eastAsia" w:ascii="楷体" w:hAnsi="楷体" w:eastAsia="楷体" w:cs="楷体"/>
          <w:b/>
          <w:i w:val="0"/>
          <w:sz w:val="21"/>
          <w:u w:val="none"/>
          <w:lang w:val="en-US" w:eastAsia="zh-CN"/>
        </w:rPr>
        <w:t>标准4：课程</w:t>
      </w:r>
    </w:p>
    <w:p>
      <w:pPr>
        <w:numPr>
          <w:ilvl w:val="0"/>
          <w:numId w:val="0"/>
        </w:numPr>
        <w:overflowPunct/>
        <w:ind w:leftChars="0"/>
        <w:jc w:val="left"/>
        <w:textAlignment w:val="auto"/>
        <w:rPr>
          <w:rFonts w:hint="default" w:ascii="Times New Roman" w:hAnsi="Times New Roman" w:eastAsia="宋体" w:cs="Times New Roman"/>
          <w:b w:val="0"/>
          <w:i w:val="0"/>
          <w:sz w:val="21"/>
          <w:u w:val="none"/>
          <w:lang w:val="en-US" w:eastAsia="zh-CN"/>
        </w:rPr>
      </w:pPr>
      <w:r>
        <w:rPr>
          <w:rFonts w:hint="eastAsia" w:ascii="Times New Roman" w:hAnsi="Times New Roman" w:cs="Times New Roman"/>
          <w:b/>
          <w:bCs/>
          <w:i w:val="0"/>
          <w:sz w:val="21"/>
          <w:u w:val="none"/>
          <w:lang w:val="en-US" w:eastAsia="zh-CN"/>
        </w:rPr>
        <w:t xml:space="preserve">4.1 </w:t>
      </w:r>
      <w:r>
        <w:rPr>
          <w:rFonts w:hint="default" w:ascii="Times New Roman" w:hAnsi="Times New Roman" w:eastAsia="宋体" w:cs="Times New Roman"/>
          <w:b w:val="0"/>
          <w:i w:val="0"/>
          <w:sz w:val="21"/>
          <w:u w:val="none"/>
          <w:lang w:eastAsia="zh-CN"/>
        </w:rPr>
        <w:t>The school delivers content that is current, relevant, forward-looking, globally oriented, innovative, and aligned with program competency goals</w:t>
      </w:r>
      <w:r>
        <w:rPr>
          <w:rFonts w:hint="eastAsia" w:ascii="Times New Roman" w:hAnsi="Times New Roman" w:cs="Times New Roman"/>
          <w:b w:val="0"/>
          <w:i w:val="0"/>
          <w:sz w:val="21"/>
          <w:u w:val="none"/>
          <w:lang w:val="en-US" w:eastAsia="zh-CN"/>
        </w:rPr>
        <w:t>.</w:t>
      </w:r>
    </w:p>
    <w:p>
      <w:pPr>
        <w:numPr>
          <w:ilvl w:val="0"/>
          <w:numId w:val="0"/>
        </w:numPr>
        <w:overflowPunct/>
        <w:ind w:leftChars="0"/>
        <w:jc w:val="left"/>
        <w:textAlignment w:val="auto"/>
        <w:rPr>
          <w:rFonts w:hint="default" w:ascii="Times New Roman" w:hAnsi="Times New Roman" w:eastAsia="宋体" w:cs="Times New Roman"/>
          <w:b w:val="0"/>
          <w:i w:val="0"/>
          <w:sz w:val="21"/>
          <w:u w:val="none"/>
          <w:lang w:val="en-US" w:eastAsia="zh-CN"/>
        </w:rPr>
      </w:pPr>
      <w:r>
        <w:rPr>
          <w:rFonts w:hint="eastAsia" w:ascii="Times New Roman" w:hAnsi="Times New Roman" w:cs="Times New Roman"/>
          <w:b/>
          <w:bCs/>
          <w:i w:val="0"/>
          <w:sz w:val="21"/>
          <w:u w:val="none"/>
          <w:lang w:val="en-US" w:eastAsia="zh-CN"/>
        </w:rPr>
        <w:t xml:space="preserve">4.2 </w:t>
      </w:r>
      <w:r>
        <w:rPr>
          <w:rFonts w:hint="default" w:ascii="Times New Roman" w:hAnsi="Times New Roman" w:eastAsia="宋体" w:cs="Times New Roman"/>
          <w:b w:val="0"/>
          <w:i w:val="0"/>
          <w:sz w:val="21"/>
          <w:u w:val="none"/>
          <w:lang w:eastAsia="zh-CN"/>
        </w:rPr>
        <w:t>The school manages its curricula through assessment and other systematic review processes to ensure currency, relevance, and competency goals</w:t>
      </w:r>
      <w:r>
        <w:rPr>
          <w:rFonts w:hint="eastAsia" w:ascii="Times New Roman" w:hAnsi="Times New Roman" w:cs="Times New Roman"/>
          <w:b w:val="0"/>
          <w:i w:val="0"/>
          <w:sz w:val="21"/>
          <w:u w:val="none"/>
          <w:lang w:val="en-US" w:eastAsia="zh-CN"/>
        </w:rPr>
        <w:t>.</w:t>
      </w:r>
    </w:p>
    <w:p>
      <w:pPr>
        <w:numPr>
          <w:ilvl w:val="0"/>
          <w:numId w:val="0"/>
        </w:numPr>
        <w:overflowPunct/>
        <w:ind w:leftChars="0"/>
        <w:jc w:val="left"/>
        <w:textAlignment w:val="auto"/>
        <w:rPr>
          <w:rFonts w:hint="default" w:ascii="Times New Roman" w:hAnsi="Times New Roman" w:eastAsia="宋体" w:cs="Times New Roman"/>
          <w:b w:val="0"/>
          <w:i w:val="0"/>
          <w:sz w:val="21"/>
          <w:u w:val="none"/>
          <w:lang w:val="en-US" w:eastAsia="zh-CN"/>
        </w:rPr>
      </w:pPr>
      <w:r>
        <w:rPr>
          <w:rFonts w:hint="eastAsia" w:ascii="Times New Roman" w:hAnsi="Times New Roman" w:cs="Times New Roman"/>
          <w:b/>
          <w:bCs/>
          <w:i w:val="0"/>
          <w:sz w:val="21"/>
          <w:u w:val="none"/>
          <w:lang w:val="en-US" w:eastAsia="zh-CN"/>
        </w:rPr>
        <w:t xml:space="preserve">4.3 </w:t>
      </w:r>
      <w:r>
        <w:rPr>
          <w:rFonts w:hint="default" w:ascii="Times New Roman" w:hAnsi="Times New Roman" w:eastAsia="宋体" w:cs="Times New Roman"/>
          <w:b w:val="0"/>
          <w:i w:val="0"/>
          <w:sz w:val="21"/>
          <w:u w:val="none"/>
          <w:lang w:eastAsia="zh-CN"/>
        </w:rPr>
        <w:t>The school’s curriculum promotes and fosters innovation, experiential learning, and a lifelong learning mindset. Program elements promoting positive societal impact are included within the curriculum</w:t>
      </w:r>
      <w:r>
        <w:rPr>
          <w:rFonts w:hint="eastAsia" w:ascii="Times New Roman" w:hAnsi="Times New Roman" w:cs="Times New Roman"/>
          <w:b w:val="0"/>
          <w:i w:val="0"/>
          <w:sz w:val="21"/>
          <w:u w:val="none"/>
          <w:lang w:val="en-US" w:eastAsia="zh-CN"/>
        </w:rPr>
        <w:t>.</w:t>
      </w:r>
    </w:p>
    <w:p>
      <w:pPr>
        <w:numPr>
          <w:ilvl w:val="0"/>
          <w:numId w:val="0"/>
        </w:numPr>
        <w:overflowPunct/>
        <w:ind w:leftChars="0"/>
        <w:jc w:val="left"/>
        <w:textAlignment w:val="auto"/>
        <w:rPr>
          <w:rFonts w:hint="default" w:ascii="Times New Roman" w:hAnsi="Times New Roman" w:eastAsia="宋体" w:cs="Times New Roman"/>
          <w:b w:val="0"/>
          <w:i w:val="0"/>
          <w:sz w:val="21"/>
          <w:u w:val="none"/>
          <w:lang w:val="en-US" w:eastAsia="zh-CN"/>
        </w:rPr>
      </w:pPr>
      <w:r>
        <w:rPr>
          <w:rFonts w:hint="eastAsia" w:ascii="Times New Roman" w:hAnsi="Times New Roman" w:cs="Times New Roman"/>
          <w:b/>
          <w:bCs/>
          <w:i w:val="0"/>
          <w:sz w:val="21"/>
          <w:u w:val="none"/>
          <w:lang w:val="en-US" w:eastAsia="zh-CN"/>
        </w:rPr>
        <w:t xml:space="preserve">4.4 </w:t>
      </w:r>
      <w:r>
        <w:rPr>
          <w:rFonts w:hint="default" w:ascii="Times New Roman" w:hAnsi="Times New Roman" w:eastAsia="宋体" w:cs="Times New Roman"/>
          <w:b w:val="0"/>
          <w:i w:val="0"/>
          <w:sz w:val="21"/>
          <w:u w:val="none"/>
          <w:lang w:eastAsia="zh-CN"/>
        </w:rPr>
        <w:t>The school’s curriculum facilitates meaningful learner-to-learner and learner-tofaculty academic and professional engagement</w:t>
      </w:r>
      <w:r>
        <w:rPr>
          <w:rFonts w:hint="eastAsia" w:ascii="Times New Roman" w:hAnsi="Times New Roman" w:cs="Times New Roman"/>
          <w:b w:val="0"/>
          <w:i w:val="0"/>
          <w:sz w:val="21"/>
          <w:u w:val="none"/>
          <w:lang w:val="en-US" w:eastAsia="zh-CN"/>
        </w:rPr>
        <w:t>.</w:t>
      </w:r>
    </w:p>
    <w:p>
      <w:pPr>
        <w:numPr>
          <w:ilvl w:val="0"/>
          <w:numId w:val="0"/>
        </w:numPr>
        <w:overflowPunct/>
        <w:ind w:leftChars="0"/>
        <w:jc w:val="left"/>
        <w:textAlignment w:val="auto"/>
        <w:rPr>
          <w:rFonts w:hint="default" w:ascii="Times New Roman" w:hAnsi="Times New Roman" w:eastAsia="宋体" w:cs="Times New Roman"/>
          <w:b w:val="0"/>
          <w:i w:val="0"/>
          <w:sz w:val="21"/>
          <w:u w:val="none"/>
          <w:lang w:eastAsia="zh-CN"/>
        </w:rPr>
      </w:pPr>
    </w:p>
    <w:p>
      <w:pPr>
        <w:numPr>
          <w:ilvl w:val="0"/>
          <w:numId w:val="0"/>
        </w:numPr>
        <w:overflowPunct/>
        <w:ind w:leftChars="0"/>
        <w:jc w:val="both"/>
        <w:textAlignment w:val="auto"/>
        <w:rPr>
          <w:rFonts w:hint="default" w:ascii="Times New Roman" w:hAnsi="Times New Roman" w:eastAsia="宋体" w:cs="Times New Roman"/>
          <w:b/>
          <w:i w:val="0"/>
          <w:sz w:val="21"/>
          <w:u w:val="none"/>
          <w:lang w:eastAsia="zh-CN"/>
        </w:rPr>
      </w:pPr>
      <w:r>
        <w:rPr>
          <w:rFonts w:hint="default" w:ascii="Times New Roman" w:hAnsi="Times New Roman" w:eastAsia="宋体" w:cs="Times New Roman"/>
          <w:b/>
          <w:i w:val="0"/>
          <w:sz w:val="21"/>
          <w:u w:val="none"/>
          <w:lang w:eastAsia="zh-CN"/>
        </w:rPr>
        <w:t>Standard 5: Assurance of Learning</w:t>
      </w:r>
    </w:p>
    <w:p>
      <w:pPr>
        <w:numPr>
          <w:ilvl w:val="0"/>
          <w:numId w:val="0"/>
        </w:numPr>
        <w:overflowPunct/>
        <w:ind w:leftChars="0"/>
        <w:jc w:val="both"/>
        <w:textAlignment w:val="auto"/>
        <w:rPr>
          <w:rFonts w:hint="default" w:ascii="楷体" w:hAnsi="楷体" w:eastAsia="楷体" w:cs="楷体"/>
          <w:b/>
          <w:i w:val="0"/>
          <w:sz w:val="21"/>
          <w:u w:val="none"/>
          <w:lang w:val="en-US" w:eastAsia="zh-CN"/>
        </w:rPr>
      </w:pPr>
      <w:r>
        <w:rPr>
          <w:rFonts w:hint="eastAsia" w:ascii="楷体" w:hAnsi="楷体" w:eastAsia="楷体" w:cs="楷体"/>
          <w:b/>
          <w:i w:val="0"/>
          <w:sz w:val="21"/>
          <w:u w:val="none"/>
          <w:lang w:val="en-US" w:eastAsia="zh-CN"/>
        </w:rPr>
        <w:t>标准5：教学评估</w:t>
      </w:r>
    </w:p>
    <w:p>
      <w:pPr>
        <w:numPr>
          <w:ilvl w:val="0"/>
          <w:numId w:val="0"/>
        </w:numPr>
        <w:overflowPunct/>
        <w:ind w:leftChars="0"/>
        <w:jc w:val="left"/>
        <w:textAlignment w:val="auto"/>
        <w:rPr>
          <w:rFonts w:hint="default" w:ascii="Times New Roman" w:hAnsi="Times New Roman" w:eastAsia="宋体" w:cs="Times New Roman"/>
          <w:b w:val="0"/>
          <w:i w:val="0"/>
          <w:sz w:val="21"/>
          <w:u w:val="none"/>
          <w:lang w:val="en-US" w:eastAsia="zh-CN"/>
        </w:rPr>
      </w:pPr>
      <w:r>
        <w:rPr>
          <w:rFonts w:hint="eastAsia" w:ascii="Times New Roman" w:hAnsi="Times New Roman" w:cs="Times New Roman"/>
          <w:b/>
          <w:bCs/>
          <w:i w:val="0"/>
          <w:sz w:val="21"/>
          <w:u w:val="none"/>
          <w:lang w:val="en-US" w:eastAsia="zh-CN"/>
        </w:rPr>
        <w:t xml:space="preserve">5.1 </w:t>
      </w:r>
      <w:r>
        <w:rPr>
          <w:rFonts w:hint="default" w:ascii="Times New Roman" w:hAnsi="Times New Roman" w:eastAsia="宋体" w:cs="Times New Roman"/>
          <w:b w:val="0"/>
          <w:i w:val="0"/>
          <w:sz w:val="21"/>
          <w:u w:val="none"/>
          <w:lang w:eastAsia="zh-CN"/>
        </w:rPr>
        <w:t>The school uses well-documented assurance of learning (AOL) processes, using direct and indirect assessment, for ensuring the quality of all programs that are deemed in scope for accreditation purposes. The results of the school’s AOL work leads to curricular and process improvements</w:t>
      </w:r>
      <w:r>
        <w:rPr>
          <w:rFonts w:hint="eastAsia" w:ascii="Times New Roman" w:hAnsi="Times New Roman" w:cs="Times New Roman"/>
          <w:b w:val="0"/>
          <w:i w:val="0"/>
          <w:sz w:val="21"/>
          <w:u w:val="none"/>
          <w:lang w:val="en-US" w:eastAsia="zh-CN"/>
        </w:rPr>
        <w:t>.</w:t>
      </w:r>
    </w:p>
    <w:p>
      <w:pPr>
        <w:numPr>
          <w:ilvl w:val="0"/>
          <w:numId w:val="0"/>
        </w:numPr>
        <w:overflowPunct/>
        <w:ind w:leftChars="0"/>
        <w:jc w:val="left"/>
        <w:textAlignment w:val="auto"/>
        <w:rPr>
          <w:rFonts w:hint="default" w:ascii="Times New Roman" w:hAnsi="Times New Roman" w:eastAsia="宋体" w:cs="Times New Roman"/>
          <w:b w:val="0"/>
          <w:i w:val="0"/>
          <w:sz w:val="21"/>
          <w:u w:val="none"/>
          <w:lang w:val="en-US" w:eastAsia="zh-CN"/>
        </w:rPr>
      </w:pPr>
      <w:r>
        <w:rPr>
          <w:rFonts w:hint="eastAsia" w:ascii="Times New Roman" w:hAnsi="Times New Roman" w:cs="Times New Roman"/>
          <w:b/>
          <w:bCs/>
          <w:i w:val="0"/>
          <w:sz w:val="21"/>
          <w:u w:val="none"/>
          <w:lang w:val="en-US" w:eastAsia="zh-CN"/>
        </w:rPr>
        <w:t>5.2</w:t>
      </w:r>
      <w:r>
        <w:rPr>
          <w:rFonts w:hint="eastAsia" w:ascii="Times New Roman" w:hAnsi="Times New Roman" w:cs="Times New Roman"/>
          <w:b w:val="0"/>
          <w:i w:val="0"/>
          <w:sz w:val="21"/>
          <w:u w:val="none"/>
          <w:lang w:val="en-US" w:eastAsia="zh-CN"/>
        </w:rPr>
        <w:t xml:space="preserve"> </w:t>
      </w:r>
      <w:r>
        <w:rPr>
          <w:rFonts w:hint="default" w:ascii="Times New Roman" w:hAnsi="Times New Roman" w:eastAsia="宋体" w:cs="Times New Roman"/>
          <w:b w:val="0"/>
          <w:i w:val="0"/>
          <w:sz w:val="21"/>
          <w:u w:val="none"/>
          <w:lang w:eastAsia="zh-CN"/>
        </w:rPr>
        <w:t>Programs resulting in the same degree credential are structured and designed to ensure equivalence of high-quality outcomes irrespective of location and modality of instructional delivery</w:t>
      </w:r>
      <w:r>
        <w:rPr>
          <w:rFonts w:hint="eastAsia" w:ascii="Times New Roman" w:hAnsi="Times New Roman" w:cs="Times New Roman"/>
          <w:b w:val="0"/>
          <w:i w:val="0"/>
          <w:sz w:val="21"/>
          <w:u w:val="none"/>
          <w:lang w:val="en-US" w:eastAsia="zh-CN"/>
        </w:rPr>
        <w:t>.</w:t>
      </w:r>
    </w:p>
    <w:p>
      <w:pPr>
        <w:numPr>
          <w:ilvl w:val="0"/>
          <w:numId w:val="0"/>
        </w:numPr>
        <w:overflowPunct/>
        <w:ind w:leftChars="0"/>
        <w:jc w:val="left"/>
        <w:textAlignment w:val="auto"/>
        <w:rPr>
          <w:rFonts w:hint="default" w:ascii="Times New Roman" w:hAnsi="Times New Roman" w:eastAsia="宋体" w:cs="Times New Roman"/>
          <w:b w:val="0"/>
          <w:i w:val="0"/>
          <w:sz w:val="21"/>
          <w:u w:val="none"/>
          <w:lang w:val="en-US" w:eastAsia="zh-CN"/>
        </w:rPr>
      </w:pPr>
      <w:r>
        <w:rPr>
          <w:rFonts w:hint="eastAsia" w:ascii="Times New Roman" w:hAnsi="Times New Roman" w:cs="Times New Roman"/>
          <w:b/>
          <w:bCs/>
          <w:i w:val="0"/>
          <w:sz w:val="21"/>
          <w:u w:val="none"/>
          <w:lang w:val="en-US" w:eastAsia="zh-CN"/>
        </w:rPr>
        <w:t xml:space="preserve">5.3 </w:t>
      </w:r>
      <w:r>
        <w:rPr>
          <w:rFonts w:hint="default" w:ascii="Times New Roman" w:hAnsi="Times New Roman" w:eastAsia="宋体" w:cs="Times New Roman"/>
          <w:b w:val="0"/>
          <w:i w:val="0"/>
          <w:sz w:val="21"/>
          <w:u w:val="none"/>
          <w:lang w:eastAsia="zh-CN"/>
        </w:rPr>
        <w:t>Micro-learning certifications that are “stackable” or otherwise able to be combined into an AACSB-accredited degree program should include processes to ensure high quality and continuous improvement</w:t>
      </w:r>
      <w:r>
        <w:rPr>
          <w:rFonts w:hint="eastAsia" w:ascii="Times New Roman" w:hAnsi="Times New Roman" w:cs="Times New Roman"/>
          <w:b w:val="0"/>
          <w:i w:val="0"/>
          <w:sz w:val="21"/>
          <w:u w:val="none"/>
          <w:lang w:val="en-US" w:eastAsia="zh-CN"/>
        </w:rPr>
        <w:t>.</w:t>
      </w:r>
    </w:p>
    <w:p>
      <w:pPr>
        <w:numPr>
          <w:ilvl w:val="0"/>
          <w:numId w:val="0"/>
        </w:numPr>
        <w:overflowPunct/>
        <w:ind w:leftChars="0"/>
        <w:jc w:val="left"/>
        <w:textAlignment w:val="auto"/>
        <w:rPr>
          <w:rFonts w:hint="eastAsia" w:ascii="Times New Roman" w:hAnsi="Times New Roman" w:cs="Times New Roman"/>
          <w:b w:val="0"/>
          <w:i w:val="0"/>
          <w:sz w:val="21"/>
          <w:u w:val="none"/>
          <w:lang w:val="en-US" w:eastAsia="zh-CN"/>
        </w:rPr>
      </w:pPr>
      <w:r>
        <w:rPr>
          <w:rFonts w:hint="eastAsia" w:ascii="Times New Roman" w:hAnsi="Times New Roman" w:cs="Times New Roman"/>
          <w:b/>
          <w:bCs/>
          <w:i w:val="0"/>
          <w:sz w:val="21"/>
          <w:u w:val="none"/>
          <w:lang w:val="en-US" w:eastAsia="zh-CN"/>
        </w:rPr>
        <w:t xml:space="preserve">5.4 </w:t>
      </w:r>
      <w:r>
        <w:rPr>
          <w:rFonts w:hint="default" w:ascii="Times New Roman" w:hAnsi="Times New Roman" w:eastAsia="宋体" w:cs="Times New Roman"/>
          <w:b w:val="0"/>
          <w:i w:val="0"/>
          <w:sz w:val="21"/>
          <w:u w:val="none"/>
          <w:lang w:eastAsia="zh-CN"/>
        </w:rPr>
        <w:t>Non-degree executive education that is a significant component of a school’s strategic mission and objectives should include processes to ensure high quality and continuous improvement</w:t>
      </w:r>
      <w:r>
        <w:rPr>
          <w:rFonts w:hint="eastAsia" w:ascii="Times New Roman" w:hAnsi="Times New Roman" w:cs="Times New Roman"/>
          <w:b w:val="0"/>
          <w:i w:val="0"/>
          <w:sz w:val="21"/>
          <w:u w:val="none"/>
          <w:lang w:val="en-US" w:eastAsia="zh-CN"/>
        </w:rPr>
        <w:t>.</w:t>
      </w:r>
    </w:p>
    <w:p>
      <w:pPr>
        <w:numPr>
          <w:ilvl w:val="0"/>
          <w:numId w:val="0"/>
        </w:numPr>
        <w:overflowPunct/>
        <w:ind w:leftChars="0"/>
        <w:jc w:val="left"/>
        <w:textAlignment w:val="auto"/>
        <w:rPr>
          <w:rFonts w:hint="default" w:ascii="Times New Roman" w:hAnsi="Times New Roman" w:cs="Times New Roman"/>
          <w:b w:val="0"/>
          <w:i w:val="0"/>
          <w:sz w:val="21"/>
          <w:u w:val="none"/>
          <w:lang w:val="en-US" w:eastAsia="zh-CN"/>
        </w:rPr>
      </w:pPr>
    </w:p>
    <w:p>
      <w:pPr>
        <w:numPr>
          <w:ilvl w:val="0"/>
          <w:numId w:val="0"/>
        </w:numPr>
        <w:overflowPunct/>
        <w:ind w:leftChars="0"/>
        <w:jc w:val="both"/>
        <w:textAlignment w:val="auto"/>
        <w:rPr>
          <w:rFonts w:hint="default" w:ascii="Times New Roman" w:hAnsi="Times New Roman" w:eastAsia="宋体" w:cs="Times New Roman"/>
          <w:b/>
          <w:i w:val="0"/>
          <w:sz w:val="21"/>
          <w:u w:val="none"/>
          <w:lang w:eastAsia="zh-CN"/>
        </w:rPr>
      </w:pPr>
      <w:r>
        <w:rPr>
          <w:rFonts w:hint="default" w:ascii="Times New Roman" w:hAnsi="Times New Roman" w:eastAsia="宋体" w:cs="Times New Roman"/>
          <w:b/>
          <w:i w:val="0"/>
          <w:sz w:val="21"/>
          <w:u w:val="none"/>
          <w:lang w:eastAsia="zh-CN"/>
        </w:rPr>
        <w:t>Standard 6: Learner Progression</w:t>
      </w:r>
    </w:p>
    <w:p>
      <w:pPr>
        <w:numPr>
          <w:ilvl w:val="0"/>
          <w:numId w:val="0"/>
        </w:numPr>
        <w:overflowPunct/>
        <w:ind w:leftChars="0"/>
        <w:jc w:val="both"/>
        <w:textAlignment w:val="auto"/>
        <w:rPr>
          <w:rFonts w:hint="default" w:ascii="楷体" w:hAnsi="楷体" w:eastAsia="楷体" w:cs="楷体"/>
          <w:b/>
          <w:i w:val="0"/>
          <w:sz w:val="21"/>
          <w:u w:val="none"/>
          <w:lang w:val="en-US" w:eastAsia="zh-CN"/>
        </w:rPr>
      </w:pPr>
      <w:r>
        <w:rPr>
          <w:rFonts w:hint="eastAsia" w:ascii="楷体" w:hAnsi="楷体" w:eastAsia="楷体" w:cs="楷体"/>
          <w:b/>
          <w:i w:val="0"/>
          <w:sz w:val="21"/>
          <w:u w:val="none"/>
          <w:lang w:val="en-US" w:eastAsia="zh-CN"/>
        </w:rPr>
        <w:t>标准6：学习发展</w:t>
      </w:r>
    </w:p>
    <w:p>
      <w:pPr>
        <w:numPr>
          <w:ilvl w:val="0"/>
          <w:numId w:val="0"/>
        </w:numPr>
        <w:overflowPunct/>
        <w:ind w:leftChars="0"/>
        <w:jc w:val="left"/>
        <w:textAlignment w:val="auto"/>
        <w:rPr>
          <w:rFonts w:hint="default" w:ascii="Times New Roman" w:hAnsi="Times New Roman" w:eastAsia="宋体" w:cs="Times New Roman"/>
          <w:b w:val="0"/>
          <w:i w:val="0"/>
          <w:sz w:val="21"/>
          <w:u w:val="none"/>
          <w:lang w:val="en-US" w:eastAsia="zh-CN"/>
        </w:rPr>
      </w:pPr>
      <w:r>
        <w:rPr>
          <w:rFonts w:hint="eastAsia" w:ascii="Times New Roman" w:hAnsi="Times New Roman" w:cs="Times New Roman"/>
          <w:b/>
          <w:bCs/>
          <w:i w:val="0"/>
          <w:sz w:val="21"/>
          <w:u w:val="none"/>
          <w:lang w:val="en-US" w:eastAsia="zh-CN"/>
        </w:rPr>
        <w:t xml:space="preserve">6.1 </w:t>
      </w:r>
      <w:r>
        <w:rPr>
          <w:rFonts w:hint="default" w:ascii="Times New Roman" w:hAnsi="Times New Roman" w:eastAsia="宋体" w:cs="Times New Roman"/>
          <w:b w:val="0"/>
          <w:i w:val="0"/>
          <w:sz w:val="21"/>
          <w:u w:val="none"/>
          <w:lang w:eastAsia="zh-CN"/>
        </w:rPr>
        <w:t>The school has policies and procedures for admissions, academic progression toward degree completion, and supporting career development that are clear, effective, consistently applied, and aligned with the school's mission, strategies, and expected outcomes</w:t>
      </w:r>
      <w:r>
        <w:rPr>
          <w:rFonts w:hint="eastAsia" w:ascii="Times New Roman" w:hAnsi="Times New Roman" w:cs="Times New Roman"/>
          <w:b w:val="0"/>
          <w:i w:val="0"/>
          <w:sz w:val="21"/>
          <w:u w:val="none"/>
          <w:lang w:val="en-US" w:eastAsia="zh-CN"/>
        </w:rPr>
        <w:t>.</w:t>
      </w:r>
    </w:p>
    <w:p>
      <w:pPr>
        <w:numPr>
          <w:ilvl w:val="0"/>
          <w:numId w:val="0"/>
        </w:numPr>
        <w:overflowPunct/>
        <w:ind w:leftChars="0"/>
        <w:jc w:val="left"/>
        <w:textAlignment w:val="auto"/>
        <w:rPr>
          <w:rFonts w:hint="default" w:ascii="Times New Roman" w:hAnsi="Times New Roman" w:eastAsia="宋体" w:cs="Times New Roman"/>
          <w:b w:val="0"/>
          <w:i w:val="0"/>
          <w:sz w:val="21"/>
          <w:u w:val="none"/>
          <w:lang w:val="en-US" w:eastAsia="zh-CN"/>
        </w:rPr>
      </w:pPr>
      <w:r>
        <w:rPr>
          <w:rFonts w:hint="eastAsia" w:ascii="Times New Roman" w:hAnsi="Times New Roman" w:cs="Times New Roman"/>
          <w:b/>
          <w:bCs/>
          <w:i w:val="0"/>
          <w:sz w:val="21"/>
          <w:u w:val="none"/>
          <w:lang w:val="en-US" w:eastAsia="zh-CN"/>
        </w:rPr>
        <w:t xml:space="preserve">6.2 </w:t>
      </w:r>
      <w:r>
        <w:rPr>
          <w:rFonts w:hint="default" w:ascii="Times New Roman" w:hAnsi="Times New Roman" w:eastAsia="宋体" w:cs="Times New Roman"/>
          <w:b w:val="0"/>
          <w:i w:val="0"/>
          <w:sz w:val="21"/>
          <w:u w:val="none"/>
          <w:lang w:eastAsia="zh-CN"/>
        </w:rPr>
        <w:t>Post-graduation success is consistent with the school’s mission, strategies, and expected outcomes. Public disclosure of academic program quality supporting learner progression and post-graduation success occurs on a current and consistent basis</w:t>
      </w:r>
      <w:r>
        <w:rPr>
          <w:rFonts w:hint="eastAsia" w:ascii="Times New Roman" w:hAnsi="Times New Roman" w:cs="Times New Roman"/>
          <w:b w:val="0"/>
          <w:i w:val="0"/>
          <w:sz w:val="21"/>
          <w:u w:val="none"/>
          <w:lang w:val="en-US" w:eastAsia="zh-CN"/>
        </w:rPr>
        <w:t>.</w:t>
      </w:r>
    </w:p>
    <w:p>
      <w:pPr>
        <w:numPr>
          <w:ilvl w:val="0"/>
          <w:numId w:val="0"/>
        </w:numPr>
        <w:overflowPunct/>
        <w:ind w:leftChars="0"/>
        <w:jc w:val="left"/>
        <w:textAlignment w:val="auto"/>
        <w:rPr>
          <w:rFonts w:hint="default" w:ascii="Times New Roman" w:hAnsi="Times New Roman" w:eastAsia="宋体" w:cs="Times New Roman"/>
          <w:b w:val="0"/>
          <w:i w:val="0"/>
          <w:sz w:val="21"/>
          <w:u w:val="none"/>
          <w:lang w:eastAsia="zh-CN"/>
        </w:rPr>
      </w:pPr>
    </w:p>
    <w:p>
      <w:pPr>
        <w:numPr>
          <w:ilvl w:val="0"/>
          <w:numId w:val="0"/>
        </w:numPr>
        <w:overflowPunct/>
        <w:ind w:leftChars="0"/>
        <w:jc w:val="both"/>
        <w:textAlignment w:val="auto"/>
        <w:rPr>
          <w:rFonts w:hint="default" w:ascii="Times New Roman" w:hAnsi="Times New Roman" w:eastAsia="宋体" w:cs="Times New Roman"/>
          <w:b/>
          <w:i w:val="0"/>
          <w:sz w:val="21"/>
          <w:u w:val="none"/>
          <w:lang w:eastAsia="zh-CN"/>
        </w:rPr>
      </w:pPr>
      <w:r>
        <w:rPr>
          <w:rFonts w:hint="default" w:ascii="Times New Roman" w:hAnsi="Times New Roman" w:eastAsia="宋体" w:cs="Times New Roman"/>
          <w:b/>
          <w:i w:val="0"/>
          <w:sz w:val="21"/>
          <w:u w:val="none"/>
          <w:lang w:eastAsia="zh-CN"/>
        </w:rPr>
        <w:t>Standard 7: Teaching Effectiveness and Impact</w:t>
      </w:r>
    </w:p>
    <w:p>
      <w:pPr>
        <w:numPr>
          <w:ilvl w:val="0"/>
          <w:numId w:val="0"/>
        </w:numPr>
        <w:overflowPunct/>
        <w:ind w:leftChars="0"/>
        <w:jc w:val="both"/>
        <w:textAlignment w:val="auto"/>
        <w:rPr>
          <w:rFonts w:hint="default" w:ascii="楷体" w:hAnsi="楷体" w:eastAsia="楷体" w:cs="楷体"/>
          <w:b/>
          <w:i w:val="0"/>
          <w:sz w:val="21"/>
          <w:u w:val="none"/>
          <w:lang w:val="en-US" w:eastAsia="zh-CN"/>
        </w:rPr>
      </w:pPr>
      <w:r>
        <w:rPr>
          <w:rFonts w:hint="eastAsia" w:ascii="楷体" w:hAnsi="楷体" w:eastAsia="楷体" w:cs="楷体"/>
          <w:b/>
          <w:i w:val="0"/>
          <w:sz w:val="21"/>
          <w:u w:val="none"/>
          <w:lang w:val="en-US" w:eastAsia="zh-CN"/>
        </w:rPr>
        <w:t>标准7：教学有效性和影响力</w:t>
      </w:r>
    </w:p>
    <w:p>
      <w:pPr>
        <w:numPr>
          <w:ilvl w:val="0"/>
          <w:numId w:val="0"/>
        </w:numPr>
        <w:overflowPunct/>
        <w:ind w:leftChars="0"/>
        <w:jc w:val="left"/>
        <w:textAlignment w:val="auto"/>
        <w:rPr>
          <w:rFonts w:hint="default" w:ascii="Times New Roman" w:hAnsi="Times New Roman" w:eastAsia="宋体" w:cs="Times New Roman"/>
          <w:b w:val="0"/>
          <w:i w:val="0"/>
          <w:sz w:val="21"/>
          <w:u w:val="none"/>
          <w:lang w:val="en-US" w:eastAsia="zh-CN"/>
        </w:rPr>
      </w:pPr>
      <w:r>
        <w:rPr>
          <w:rFonts w:hint="eastAsia" w:ascii="Times New Roman" w:hAnsi="Times New Roman" w:cs="Times New Roman"/>
          <w:b/>
          <w:bCs/>
          <w:i w:val="0"/>
          <w:sz w:val="21"/>
          <w:u w:val="none"/>
          <w:lang w:val="en-US" w:eastAsia="zh-CN"/>
        </w:rPr>
        <w:t xml:space="preserve">7.1 </w:t>
      </w:r>
      <w:r>
        <w:rPr>
          <w:rFonts w:hint="default" w:ascii="Times New Roman" w:hAnsi="Times New Roman" w:eastAsia="宋体" w:cs="Times New Roman"/>
          <w:b w:val="0"/>
          <w:i w:val="0"/>
          <w:sz w:val="21"/>
          <w:u w:val="none"/>
          <w:lang w:eastAsia="zh-CN"/>
        </w:rPr>
        <w:t>The school has a systematic, multi-measure assessment process for ensuring quality of teaching and impact on learner success</w:t>
      </w:r>
      <w:r>
        <w:rPr>
          <w:rFonts w:hint="eastAsia" w:ascii="Times New Roman" w:hAnsi="Times New Roman" w:cs="Times New Roman"/>
          <w:b w:val="0"/>
          <w:i w:val="0"/>
          <w:sz w:val="21"/>
          <w:u w:val="none"/>
          <w:lang w:val="en-US" w:eastAsia="zh-CN"/>
        </w:rPr>
        <w:t>.</w:t>
      </w:r>
    </w:p>
    <w:p>
      <w:pPr>
        <w:numPr>
          <w:ilvl w:val="0"/>
          <w:numId w:val="0"/>
        </w:numPr>
        <w:overflowPunct/>
        <w:ind w:leftChars="0"/>
        <w:jc w:val="left"/>
        <w:textAlignment w:val="auto"/>
        <w:rPr>
          <w:rFonts w:hint="default" w:ascii="Times New Roman" w:hAnsi="Times New Roman" w:eastAsia="宋体" w:cs="Times New Roman"/>
          <w:b w:val="0"/>
          <w:i w:val="0"/>
          <w:sz w:val="21"/>
          <w:u w:val="none"/>
          <w:lang w:val="en-US" w:eastAsia="zh-CN"/>
        </w:rPr>
      </w:pPr>
      <w:r>
        <w:rPr>
          <w:rFonts w:hint="eastAsia" w:ascii="Times New Roman" w:hAnsi="Times New Roman" w:cs="Times New Roman"/>
          <w:b/>
          <w:bCs/>
          <w:i w:val="0"/>
          <w:sz w:val="21"/>
          <w:u w:val="none"/>
          <w:lang w:val="en-US" w:eastAsia="zh-CN"/>
        </w:rPr>
        <w:t xml:space="preserve">7.2 </w:t>
      </w:r>
      <w:r>
        <w:rPr>
          <w:rFonts w:hint="default" w:ascii="Times New Roman" w:hAnsi="Times New Roman" w:eastAsia="宋体" w:cs="Times New Roman"/>
          <w:b w:val="0"/>
          <w:i w:val="0"/>
          <w:sz w:val="21"/>
          <w:u w:val="none"/>
          <w:lang w:eastAsia="zh-CN"/>
        </w:rPr>
        <w:t>The school has development activities in place to enhance faculty teaching and ensure that teachers can deliver curriculum that is forward-looking, globally oriented, innovative, and aligned with program competency goals</w:t>
      </w:r>
      <w:r>
        <w:rPr>
          <w:rFonts w:hint="eastAsia" w:ascii="Times New Roman" w:hAnsi="Times New Roman" w:cs="Times New Roman"/>
          <w:b w:val="0"/>
          <w:i w:val="0"/>
          <w:sz w:val="21"/>
          <w:u w:val="none"/>
          <w:lang w:val="en-US" w:eastAsia="zh-CN"/>
        </w:rPr>
        <w:t>.</w:t>
      </w:r>
    </w:p>
    <w:p>
      <w:pPr>
        <w:numPr>
          <w:ilvl w:val="0"/>
          <w:numId w:val="0"/>
        </w:numPr>
        <w:overflowPunct/>
        <w:ind w:leftChars="0"/>
        <w:jc w:val="left"/>
        <w:textAlignment w:val="auto"/>
        <w:rPr>
          <w:rFonts w:hint="default" w:ascii="Times New Roman" w:hAnsi="Times New Roman" w:eastAsia="宋体" w:cs="Times New Roman"/>
          <w:b w:val="0"/>
          <w:i w:val="0"/>
          <w:sz w:val="21"/>
          <w:u w:val="none"/>
          <w:lang w:val="en-US" w:eastAsia="zh-CN"/>
        </w:rPr>
      </w:pPr>
      <w:r>
        <w:rPr>
          <w:rFonts w:hint="eastAsia" w:ascii="Times New Roman" w:hAnsi="Times New Roman" w:cs="Times New Roman"/>
          <w:b/>
          <w:bCs/>
          <w:i w:val="0"/>
          <w:sz w:val="21"/>
          <w:u w:val="none"/>
          <w:lang w:val="en-US" w:eastAsia="zh-CN"/>
        </w:rPr>
        <w:t>7.3</w:t>
      </w:r>
      <w:r>
        <w:rPr>
          <w:rFonts w:hint="eastAsia" w:ascii="Times New Roman" w:hAnsi="Times New Roman" w:cs="Times New Roman"/>
          <w:b w:val="0"/>
          <w:i w:val="0"/>
          <w:sz w:val="21"/>
          <w:u w:val="none"/>
          <w:lang w:val="en-US" w:eastAsia="zh-CN"/>
        </w:rPr>
        <w:t xml:space="preserve"> </w:t>
      </w:r>
      <w:r>
        <w:rPr>
          <w:rFonts w:hint="default" w:ascii="Times New Roman" w:hAnsi="Times New Roman" w:eastAsia="宋体" w:cs="Times New Roman"/>
          <w:b w:val="0"/>
          <w:i w:val="0"/>
          <w:sz w:val="21"/>
          <w:u w:val="none"/>
          <w:lang w:eastAsia="zh-CN"/>
        </w:rPr>
        <w:t>Faculty are current in their discipline and pedagogical methods, including teaching diverse perspectives in an inclusive environment. Faculty demonstrate a lifelong learning mindset, as supported and promoted by the school</w:t>
      </w:r>
      <w:r>
        <w:rPr>
          <w:rFonts w:hint="eastAsia" w:ascii="Times New Roman" w:hAnsi="Times New Roman" w:cs="Times New Roman"/>
          <w:b w:val="0"/>
          <w:i w:val="0"/>
          <w:sz w:val="21"/>
          <w:u w:val="none"/>
          <w:lang w:val="en-US" w:eastAsia="zh-CN"/>
        </w:rPr>
        <w:t>.</w:t>
      </w:r>
    </w:p>
    <w:p>
      <w:pPr>
        <w:numPr>
          <w:ilvl w:val="0"/>
          <w:numId w:val="0"/>
        </w:numPr>
        <w:overflowPunct/>
        <w:ind w:leftChars="0"/>
        <w:jc w:val="left"/>
        <w:textAlignment w:val="auto"/>
        <w:rPr>
          <w:rFonts w:hint="default" w:ascii="Times New Roman" w:hAnsi="Times New Roman" w:eastAsia="宋体" w:cs="Times New Roman"/>
          <w:b w:val="0"/>
          <w:i w:val="0"/>
          <w:sz w:val="21"/>
          <w:u w:val="none"/>
          <w:lang w:val="en-US" w:eastAsia="zh-CN"/>
        </w:rPr>
      </w:pPr>
      <w:r>
        <w:rPr>
          <w:rFonts w:hint="eastAsia" w:ascii="Times New Roman" w:hAnsi="Times New Roman" w:cs="Times New Roman"/>
          <w:b/>
          <w:bCs/>
          <w:i w:val="0"/>
          <w:sz w:val="21"/>
          <w:u w:val="none"/>
          <w:lang w:val="en-US" w:eastAsia="zh-CN"/>
        </w:rPr>
        <w:t xml:space="preserve">7.4 </w:t>
      </w:r>
      <w:r>
        <w:rPr>
          <w:rFonts w:hint="default" w:ascii="Times New Roman" w:hAnsi="Times New Roman" w:eastAsia="宋体" w:cs="Times New Roman"/>
          <w:b w:val="0"/>
          <w:i w:val="0"/>
          <w:sz w:val="21"/>
          <w:u w:val="none"/>
          <w:lang w:eastAsia="zh-CN"/>
        </w:rPr>
        <w:t>The school demonstrates teaching impact through learner success, learner satisfaction, and other affirmations of teaching expertise</w:t>
      </w:r>
      <w:r>
        <w:rPr>
          <w:rFonts w:hint="eastAsia" w:ascii="Times New Roman" w:hAnsi="Times New Roman" w:cs="Times New Roman"/>
          <w:b w:val="0"/>
          <w:i w:val="0"/>
          <w:sz w:val="21"/>
          <w:u w:val="none"/>
          <w:lang w:val="en-US" w:eastAsia="zh-CN"/>
        </w:rPr>
        <w:t>.</w:t>
      </w:r>
    </w:p>
    <w:p>
      <w:pPr>
        <w:numPr>
          <w:ilvl w:val="0"/>
          <w:numId w:val="0"/>
        </w:numPr>
        <w:overflowPunct/>
        <w:ind w:leftChars="0"/>
        <w:jc w:val="left"/>
        <w:textAlignment w:val="auto"/>
        <w:rPr>
          <w:rFonts w:hint="default" w:ascii="Times New Roman" w:hAnsi="Times New Roman" w:eastAsia="宋体" w:cs="Times New Roman"/>
          <w:b w:val="0"/>
          <w:i w:val="0"/>
          <w:sz w:val="21"/>
          <w:u w:val="none"/>
          <w:lang w:eastAsia="zh-CN"/>
        </w:rPr>
      </w:pPr>
    </w:p>
    <w:p>
      <w:pPr>
        <w:numPr>
          <w:ilvl w:val="0"/>
          <w:numId w:val="0"/>
        </w:numPr>
        <w:overflowPunct/>
        <w:ind w:leftChars="0"/>
        <w:jc w:val="both"/>
        <w:textAlignment w:val="auto"/>
        <w:rPr>
          <w:rFonts w:hint="default" w:ascii="楷体" w:hAnsi="楷体" w:eastAsia="楷体" w:cs="楷体"/>
          <w:b/>
          <w:i w:val="0"/>
          <w:sz w:val="21"/>
          <w:u w:val="none"/>
          <w:lang w:val="en-US" w:eastAsia="zh-CN"/>
        </w:rPr>
      </w:pPr>
      <w:r>
        <w:rPr>
          <w:rFonts w:hint="default" w:ascii="Times New Roman" w:hAnsi="Times New Roman" w:eastAsia="宋体" w:cs="Times New Roman"/>
          <w:b/>
          <w:i w:val="0"/>
          <w:sz w:val="21"/>
          <w:u w:val="none"/>
          <w:lang w:eastAsia="zh-CN"/>
        </w:rPr>
        <w:t>Standard 8: Impact of Scholarship</w:t>
      </w:r>
    </w:p>
    <w:p>
      <w:pPr>
        <w:numPr>
          <w:ilvl w:val="0"/>
          <w:numId w:val="0"/>
        </w:numPr>
        <w:overflowPunct/>
        <w:ind w:leftChars="0"/>
        <w:jc w:val="both"/>
        <w:textAlignment w:val="auto"/>
        <w:rPr>
          <w:rFonts w:hint="default" w:ascii="楷体" w:hAnsi="楷体" w:eastAsia="楷体" w:cs="楷体"/>
          <w:b/>
          <w:i w:val="0"/>
          <w:sz w:val="21"/>
          <w:u w:val="none"/>
          <w:lang w:val="en-US" w:eastAsia="zh-CN"/>
        </w:rPr>
      </w:pPr>
      <w:r>
        <w:rPr>
          <w:rFonts w:hint="eastAsia" w:ascii="楷体" w:hAnsi="楷体" w:eastAsia="楷体" w:cs="楷体"/>
          <w:b/>
          <w:i w:val="0"/>
          <w:sz w:val="21"/>
          <w:u w:val="none"/>
          <w:lang w:val="en-US" w:eastAsia="zh-CN"/>
        </w:rPr>
        <w:t>标准8：学术影响力</w:t>
      </w:r>
    </w:p>
    <w:p>
      <w:pPr>
        <w:numPr>
          <w:ilvl w:val="0"/>
          <w:numId w:val="0"/>
        </w:numPr>
        <w:overflowPunct/>
        <w:ind w:leftChars="0"/>
        <w:jc w:val="left"/>
        <w:textAlignment w:val="auto"/>
        <w:rPr>
          <w:rFonts w:hint="default" w:ascii="Times New Roman" w:hAnsi="Times New Roman" w:eastAsia="宋体" w:cs="Times New Roman"/>
          <w:b w:val="0"/>
          <w:i w:val="0"/>
          <w:sz w:val="21"/>
          <w:u w:val="none"/>
          <w:lang w:val="en-US" w:eastAsia="zh-CN"/>
        </w:rPr>
      </w:pPr>
      <w:r>
        <w:rPr>
          <w:rFonts w:hint="eastAsia" w:ascii="Times New Roman" w:hAnsi="Times New Roman" w:cs="Times New Roman"/>
          <w:b/>
          <w:bCs/>
          <w:i w:val="0"/>
          <w:sz w:val="21"/>
          <w:u w:val="none"/>
          <w:lang w:val="en-US" w:eastAsia="zh-CN"/>
        </w:rPr>
        <w:t xml:space="preserve">8.1 </w:t>
      </w:r>
      <w:r>
        <w:rPr>
          <w:rFonts w:hint="default" w:ascii="Times New Roman" w:hAnsi="Times New Roman" w:eastAsia="宋体" w:cs="Times New Roman"/>
          <w:b w:val="0"/>
          <w:i w:val="0"/>
          <w:sz w:val="21"/>
          <w:u w:val="none"/>
          <w:lang w:eastAsia="zh-CN"/>
        </w:rPr>
        <w:t>The school’s faculty collectively produce high-quality, impactful intellectual contributions that, over time, develop into mission-consistent areas of thought leadership for the school</w:t>
      </w:r>
      <w:r>
        <w:rPr>
          <w:rFonts w:hint="eastAsia" w:ascii="Times New Roman" w:hAnsi="Times New Roman" w:cs="Times New Roman"/>
          <w:b w:val="0"/>
          <w:i w:val="0"/>
          <w:sz w:val="21"/>
          <w:u w:val="none"/>
          <w:lang w:val="en-US" w:eastAsia="zh-CN"/>
        </w:rPr>
        <w:t>.</w:t>
      </w:r>
    </w:p>
    <w:p>
      <w:pPr>
        <w:numPr>
          <w:ilvl w:val="0"/>
          <w:numId w:val="0"/>
        </w:numPr>
        <w:overflowPunct/>
        <w:ind w:leftChars="0"/>
        <w:jc w:val="left"/>
        <w:textAlignment w:val="auto"/>
        <w:rPr>
          <w:rFonts w:hint="default" w:ascii="Times New Roman" w:hAnsi="Times New Roman" w:eastAsia="宋体" w:cs="Times New Roman"/>
          <w:b w:val="0"/>
          <w:i w:val="0"/>
          <w:sz w:val="21"/>
          <w:u w:val="none"/>
          <w:lang w:val="en-US" w:eastAsia="zh-CN"/>
        </w:rPr>
      </w:pPr>
      <w:r>
        <w:rPr>
          <w:rFonts w:hint="eastAsia" w:ascii="Times New Roman" w:hAnsi="Times New Roman" w:cs="Times New Roman"/>
          <w:b/>
          <w:bCs/>
          <w:i w:val="0"/>
          <w:sz w:val="21"/>
          <w:u w:val="none"/>
          <w:lang w:val="en-US" w:eastAsia="zh-CN"/>
        </w:rPr>
        <w:t xml:space="preserve">8.2 </w:t>
      </w:r>
      <w:r>
        <w:rPr>
          <w:rFonts w:hint="default" w:ascii="Times New Roman" w:hAnsi="Times New Roman" w:eastAsia="宋体" w:cs="Times New Roman"/>
          <w:b w:val="0"/>
          <w:i w:val="0"/>
          <w:sz w:val="21"/>
          <w:u w:val="none"/>
          <w:lang w:eastAsia="zh-CN"/>
        </w:rPr>
        <w:t>The school collaborates with a wide variety of external stakeholders to create and transfer credible, relevant, and timely knowledge that informs the theory, policy, and/or practice of business to develop into mission-consistent areas of thought leadership for the school</w:t>
      </w:r>
      <w:r>
        <w:rPr>
          <w:rFonts w:hint="eastAsia" w:ascii="Times New Roman" w:hAnsi="Times New Roman" w:cs="Times New Roman"/>
          <w:b w:val="0"/>
          <w:i w:val="0"/>
          <w:sz w:val="21"/>
          <w:u w:val="none"/>
          <w:lang w:val="en-US" w:eastAsia="zh-CN"/>
        </w:rPr>
        <w:t>.</w:t>
      </w:r>
    </w:p>
    <w:p>
      <w:pPr>
        <w:numPr>
          <w:ilvl w:val="0"/>
          <w:numId w:val="0"/>
        </w:numPr>
        <w:overflowPunct/>
        <w:ind w:leftChars="0"/>
        <w:jc w:val="left"/>
        <w:textAlignment w:val="auto"/>
        <w:rPr>
          <w:rFonts w:hint="default" w:ascii="Times New Roman" w:hAnsi="Times New Roman" w:eastAsia="宋体" w:cs="Times New Roman"/>
          <w:b w:val="0"/>
          <w:i w:val="0"/>
          <w:sz w:val="21"/>
          <w:u w:val="none"/>
          <w:lang w:val="en-US" w:eastAsia="zh-CN"/>
        </w:rPr>
      </w:pPr>
      <w:r>
        <w:rPr>
          <w:rFonts w:hint="eastAsia" w:ascii="Times New Roman" w:hAnsi="Times New Roman" w:cs="Times New Roman"/>
          <w:b/>
          <w:bCs/>
          <w:i w:val="0"/>
          <w:sz w:val="21"/>
          <w:u w:val="none"/>
          <w:lang w:val="en-US" w:eastAsia="zh-CN"/>
        </w:rPr>
        <w:t>8.3</w:t>
      </w:r>
      <w:r>
        <w:rPr>
          <w:rFonts w:hint="eastAsia" w:ascii="Times New Roman" w:hAnsi="Times New Roman" w:cs="Times New Roman"/>
          <w:b w:val="0"/>
          <w:i w:val="0"/>
          <w:sz w:val="21"/>
          <w:u w:val="none"/>
          <w:lang w:val="en-US" w:eastAsia="zh-CN"/>
        </w:rPr>
        <w:t xml:space="preserve"> </w:t>
      </w:r>
      <w:r>
        <w:rPr>
          <w:rFonts w:hint="default" w:ascii="Times New Roman" w:hAnsi="Times New Roman" w:eastAsia="宋体" w:cs="Times New Roman"/>
          <w:b w:val="0"/>
          <w:i w:val="0"/>
          <w:sz w:val="21"/>
          <w:u w:val="none"/>
          <w:lang w:eastAsia="zh-CN"/>
        </w:rPr>
        <w:t>The school’s portfolio of intellectual contributions contains exemplars of basic, applied, and/or pedagogical research that have had a positive societal impact, consistent with the school’s mission</w:t>
      </w:r>
      <w:r>
        <w:rPr>
          <w:rFonts w:hint="eastAsia" w:ascii="Times New Roman" w:hAnsi="Times New Roman" w:cs="Times New Roman"/>
          <w:b w:val="0"/>
          <w:i w:val="0"/>
          <w:sz w:val="21"/>
          <w:u w:val="none"/>
          <w:lang w:val="en-US" w:eastAsia="zh-CN"/>
        </w:rPr>
        <w:t>.</w:t>
      </w:r>
    </w:p>
    <w:p>
      <w:pPr>
        <w:numPr>
          <w:ilvl w:val="0"/>
          <w:numId w:val="0"/>
        </w:numPr>
        <w:overflowPunct/>
        <w:ind w:leftChars="0"/>
        <w:jc w:val="left"/>
        <w:textAlignment w:val="auto"/>
        <w:rPr>
          <w:rFonts w:hint="default" w:ascii="Times New Roman" w:hAnsi="Times New Roman" w:eastAsia="宋体" w:cs="Times New Roman"/>
          <w:b w:val="0"/>
          <w:i w:val="0"/>
          <w:sz w:val="21"/>
          <w:u w:val="none"/>
          <w:lang w:eastAsia="zh-CN"/>
        </w:rPr>
      </w:pPr>
    </w:p>
    <w:p>
      <w:pPr>
        <w:numPr>
          <w:ilvl w:val="0"/>
          <w:numId w:val="0"/>
        </w:numPr>
        <w:overflowPunct/>
        <w:ind w:leftChars="0"/>
        <w:jc w:val="both"/>
        <w:textAlignment w:val="auto"/>
        <w:rPr>
          <w:rFonts w:hint="default" w:ascii="Times New Roman" w:hAnsi="Times New Roman" w:eastAsia="宋体" w:cs="Times New Roman"/>
          <w:b/>
          <w:i w:val="0"/>
          <w:sz w:val="21"/>
          <w:u w:val="none"/>
          <w:lang w:eastAsia="zh-CN"/>
        </w:rPr>
      </w:pPr>
      <w:r>
        <w:rPr>
          <w:rFonts w:hint="default" w:ascii="Times New Roman" w:hAnsi="Times New Roman" w:eastAsia="宋体" w:cs="Times New Roman"/>
          <w:b/>
          <w:i w:val="0"/>
          <w:sz w:val="21"/>
          <w:u w:val="none"/>
          <w:lang w:eastAsia="zh-CN"/>
        </w:rPr>
        <w:t xml:space="preserve">Standard 9: Engagement that Impacts Business and Society </w:t>
      </w:r>
    </w:p>
    <w:p>
      <w:pPr>
        <w:numPr>
          <w:ilvl w:val="0"/>
          <w:numId w:val="0"/>
        </w:numPr>
        <w:overflowPunct/>
        <w:ind w:leftChars="0"/>
        <w:jc w:val="both"/>
        <w:textAlignment w:val="auto"/>
        <w:rPr>
          <w:rFonts w:hint="default" w:ascii="楷体" w:hAnsi="楷体" w:eastAsia="楷体" w:cs="楷体"/>
          <w:b/>
          <w:i w:val="0"/>
          <w:sz w:val="21"/>
          <w:u w:val="none"/>
          <w:lang w:val="en-US" w:eastAsia="zh-CN"/>
        </w:rPr>
      </w:pPr>
      <w:r>
        <w:rPr>
          <w:rFonts w:hint="eastAsia" w:ascii="楷体" w:hAnsi="楷体" w:eastAsia="楷体" w:cs="楷体"/>
          <w:b/>
          <w:i w:val="0"/>
          <w:sz w:val="21"/>
          <w:u w:val="none"/>
          <w:lang w:val="en-US" w:eastAsia="zh-CN"/>
        </w:rPr>
        <w:t>标准9：商业和社会影响力</w:t>
      </w:r>
    </w:p>
    <w:p>
      <w:pPr>
        <w:numPr>
          <w:ilvl w:val="0"/>
          <w:numId w:val="0"/>
        </w:numPr>
        <w:overflowPunct/>
        <w:ind w:leftChars="0"/>
        <w:jc w:val="both"/>
        <w:textAlignment w:val="auto"/>
        <w:rPr>
          <w:rFonts w:hint="default" w:ascii="Times New Roman" w:hAnsi="Times New Roman" w:eastAsia="宋体" w:cs="Times New Roman"/>
          <w:b/>
          <w:i w:val="0"/>
          <w:sz w:val="21"/>
          <w:u w:val="none"/>
          <w:lang w:val="en-US" w:eastAsia="zh-CN"/>
        </w:rPr>
      </w:pPr>
      <w:r>
        <w:rPr>
          <w:rFonts w:hint="default" w:ascii="Times New Roman" w:hAnsi="Times New Roman" w:eastAsia="宋体" w:cs="Times New Roman"/>
          <w:b w:val="0"/>
          <w:i w:val="0"/>
          <w:sz w:val="21"/>
          <w:u w:val="none"/>
          <w:lang w:eastAsia="zh-CN"/>
        </w:rPr>
        <w:t>The school demonstrates positive societal impact through internal and external initiatives and/or activities, consistent with the school’s mission, strategies, and expected outcomes</w:t>
      </w:r>
      <w:r>
        <w:rPr>
          <w:rFonts w:hint="eastAsia" w:ascii="Times New Roman" w:hAnsi="Times New Roman" w:cs="Times New Roman"/>
          <w:b w:val="0"/>
          <w:i w:val="0"/>
          <w:sz w:val="21"/>
          <w:u w:val="none"/>
          <w:lang w:val="en-US" w:eastAsia="zh-CN"/>
        </w:rPr>
        <w:t>.</w:t>
      </w:r>
    </w:p>
    <w:p>
      <w:pPr>
        <w:jc w:val="both"/>
        <w:rPr>
          <w:rFonts w:hint="default"/>
          <w:b w:val="0"/>
          <w:bCs w:val="0"/>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DFKai-SB">
    <w:altName w:val="Microsoft JhengHei Light"/>
    <w:panose1 w:val="03000509000000000000"/>
    <w:charset w:val="88"/>
    <w:family w:val="script"/>
    <w:pitch w:val="default"/>
    <w:sig w:usb0="00000000" w:usb1="00000000" w:usb2="00000016" w:usb3="00000000" w:csb0="00100001" w:csb1="00000000"/>
  </w:font>
  <w:font w:name="MS Gothic">
    <w:panose1 w:val="020B0609070205080204"/>
    <w:charset w:val="80"/>
    <w:family w:val="modern"/>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F64FD"/>
    <w:rsid w:val="799F64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2020-04-10T13:04:00Z</dcterms:created>
  <dc:creator>随风小肚腩</dc:creator>
  <cp:lastModifiedBy>随风小肚腩</cp:lastModifiedBy>
  <dcterms:modified xsi:type="dcterms:W3CDTF">2020-04-10T13:05:57Z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