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120" w:beforeAutospacing="0" w:after="120" w:afterAutospacing="0" w:line="357" w:lineRule="atLeast"/>
        <w:ind w:left="0" w:right="0"/>
        <w:jc w:val="center"/>
        <w:rPr>
          <w:rFonts w:hint="default" w:ascii="Arial" w:hAnsi="Arial" w:cs="Arial"/>
          <w:color w:val="262626"/>
          <w:sz w:val="28"/>
          <w:szCs w:val="28"/>
        </w:rPr>
      </w:pPr>
      <w:r>
        <w:rPr>
          <w:rStyle w:val="9"/>
          <w:rFonts w:hint="eastAsia" w:ascii="宋体" w:hAnsi="宋体" w:eastAsia="宋体" w:cs="宋体"/>
          <w:color w:val="262626"/>
          <w:sz w:val="28"/>
          <w:szCs w:val="28"/>
          <w:lang w:val="en-US" w:eastAsia="zh-CN"/>
        </w:rPr>
        <w:t>附件1-工商管理学院</w:t>
      </w:r>
      <w:r>
        <w:rPr>
          <w:rStyle w:val="9"/>
          <w:rFonts w:hint="eastAsia" w:ascii="宋体" w:hAnsi="宋体" w:eastAsia="宋体" w:cs="宋体"/>
          <w:color w:val="262626"/>
          <w:sz w:val="28"/>
          <w:szCs w:val="28"/>
        </w:rPr>
        <w:t>课程思政教学竞赛评分标准</w:t>
      </w:r>
    </w:p>
    <w:tbl>
      <w:tblPr>
        <w:tblStyle w:val="6"/>
        <w:tblW w:w="112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83"/>
        <w:gridCol w:w="1256"/>
        <w:gridCol w:w="5984"/>
        <w:gridCol w:w="1256"/>
        <w:gridCol w:w="12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jc w:val="center"/>
        </w:trPr>
        <w:tc>
          <w:tcPr>
            <w:tcW w:w="127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评价</w:t>
            </w:r>
          </w:p>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指标</w:t>
            </w:r>
          </w:p>
        </w:tc>
        <w:tc>
          <w:tcPr>
            <w:tcW w:w="108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分值</w:t>
            </w:r>
          </w:p>
        </w:tc>
        <w:tc>
          <w:tcPr>
            <w:tcW w:w="5145"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评分内容</w:t>
            </w:r>
          </w:p>
        </w:tc>
        <w:tc>
          <w:tcPr>
            <w:tcW w:w="108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分值</w:t>
            </w:r>
          </w:p>
        </w:tc>
        <w:tc>
          <w:tcPr>
            <w:tcW w:w="108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275"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教学</w:t>
            </w:r>
          </w:p>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设计</w:t>
            </w:r>
          </w:p>
        </w:tc>
        <w:tc>
          <w:tcPr>
            <w:tcW w:w="10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lang w:val="en-US"/>
              </w:rPr>
              <w:t>  25</w:t>
            </w:r>
          </w:p>
        </w:tc>
        <w:tc>
          <w:tcPr>
            <w:tcW w:w="5145"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rPr>
              <w:t>备课充分，精心设计教学各个环节，有结合“课程思政”的教学目标、教学内容和教学方法设计。</w:t>
            </w:r>
          </w:p>
        </w:tc>
        <w:tc>
          <w:tcPr>
            <w:tcW w:w="1080"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15</w:t>
            </w:r>
          </w:p>
        </w:tc>
        <w:tc>
          <w:tcPr>
            <w:tcW w:w="1080" w:type="dxa"/>
            <w:vMerge w:val="restart"/>
            <w:tcBorders>
              <w:top w:val="nil"/>
              <w:left w:val="nil"/>
              <w:bottom w:val="single" w:color="000000" w:sz="6" w:space="0"/>
              <w:right w:val="single" w:color="000000" w:sz="6" w:space="0"/>
            </w:tcBorders>
            <w:noWrap w:val="0"/>
            <w:tcMar>
              <w:left w:w="105" w:type="dxa"/>
              <w:right w:w="105" w:type="dxa"/>
            </w:tcMar>
            <w:vAlign w:val="top"/>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1275"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18"/>
                <w:szCs w:val="18"/>
              </w:rPr>
            </w:pPr>
          </w:p>
        </w:tc>
        <w:tc>
          <w:tcPr>
            <w:tcW w:w="10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18"/>
                <w:szCs w:val="18"/>
              </w:rPr>
            </w:pPr>
          </w:p>
        </w:tc>
        <w:tc>
          <w:tcPr>
            <w:tcW w:w="5145"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rPr>
              <w:t>知识讲授符合学生认知规律和教学实际。</w:t>
            </w:r>
          </w:p>
        </w:tc>
        <w:tc>
          <w:tcPr>
            <w:tcW w:w="1080"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10</w:t>
            </w:r>
          </w:p>
        </w:tc>
        <w:tc>
          <w:tcPr>
            <w:tcW w:w="1080" w:type="dxa"/>
            <w:vMerge w:val="continue"/>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275"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教学</w:t>
            </w:r>
          </w:p>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实施</w:t>
            </w:r>
          </w:p>
        </w:tc>
        <w:tc>
          <w:tcPr>
            <w:tcW w:w="10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lang w:val="en-US"/>
              </w:rPr>
              <w:t>  40</w:t>
            </w:r>
          </w:p>
        </w:tc>
        <w:tc>
          <w:tcPr>
            <w:tcW w:w="5145"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rPr>
              <w:t>善于提炼专业课程蕴含的育人因素，能将思想政治教育和专业知识传授融合，教学内容呈现恰当，教学活动组织合理。</w:t>
            </w:r>
          </w:p>
        </w:tc>
        <w:tc>
          <w:tcPr>
            <w:tcW w:w="1080"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20</w:t>
            </w:r>
          </w:p>
        </w:tc>
        <w:tc>
          <w:tcPr>
            <w:tcW w:w="1080" w:type="dxa"/>
            <w:vMerge w:val="restart"/>
            <w:tcBorders>
              <w:top w:val="nil"/>
              <w:left w:val="nil"/>
              <w:bottom w:val="single" w:color="000000" w:sz="6" w:space="0"/>
              <w:right w:val="single" w:color="000000" w:sz="6" w:space="0"/>
            </w:tcBorders>
            <w:noWrap w:val="0"/>
            <w:tcMar>
              <w:left w:w="105" w:type="dxa"/>
              <w:right w:w="105" w:type="dxa"/>
            </w:tcMar>
            <w:vAlign w:val="top"/>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275"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18"/>
                <w:szCs w:val="18"/>
              </w:rPr>
            </w:pPr>
          </w:p>
        </w:tc>
        <w:tc>
          <w:tcPr>
            <w:tcW w:w="10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18"/>
                <w:szCs w:val="18"/>
              </w:rPr>
            </w:pPr>
          </w:p>
        </w:tc>
        <w:tc>
          <w:tcPr>
            <w:tcW w:w="5145"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rPr>
              <w:t>善于综合运用现代信息技术手段和数字资源把思政教育巧妙渗透教学全过程，教学方法运用恰当，教学策略使用有效。</w:t>
            </w:r>
          </w:p>
        </w:tc>
        <w:tc>
          <w:tcPr>
            <w:tcW w:w="1080"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20</w:t>
            </w:r>
          </w:p>
        </w:tc>
        <w:tc>
          <w:tcPr>
            <w:tcW w:w="1080" w:type="dxa"/>
            <w:vMerge w:val="continue"/>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275"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教学</w:t>
            </w:r>
          </w:p>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效果</w:t>
            </w:r>
          </w:p>
        </w:tc>
        <w:tc>
          <w:tcPr>
            <w:tcW w:w="10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lang w:val="en-US"/>
              </w:rPr>
              <w:t>  15</w:t>
            </w:r>
          </w:p>
        </w:tc>
        <w:tc>
          <w:tcPr>
            <w:tcW w:w="5145"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rPr>
              <w:t>注重思想理论教育和价值引领，有效达成教学目标，效果明显。</w:t>
            </w:r>
          </w:p>
        </w:tc>
        <w:tc>
          <w:tcPr>
            <w:tcW w:w="1080"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10</w:t>
            </w:r>
          </w:p>
        </w:tc>
        <w:tc>
          <w:tcPr>
            <w:tcW w:w="1080" w:type="dxa"/>
            <w:vMerge w:val="restart"/>
            <w:tcBorders>
              <w:top w:val="nil"/>
              <w:left w:val="nil"/>
              <w:bottom w:val="single" w:color="000000" w:sz="6" w:space="0"/>
              <w:right w:val="single" w:color="000000" w:sz="6" w:space="0"/>
            </w:tcBorders>
            <w:noWrap w:val="0"/>
            <w:tcMar>
              <w:left w:w="105" w:type="dxa"/>
              <w:right w:w="105" w:type="dxa"/>
            </w:tcMar>
            <w:vAlign w:val="top"/>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1275"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18"/>
                <w:szCs w:val="18"/>
              </w:rPr>
            </w:pPr>
          </w:p>
        </w:tc>
        <w:tc>
          <w:tcPr>
            <w:tcW w:w="10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18"/>
                <w:szCs w:val="18"/>
              </w:rPr>
            </w:pPr>
          </w:p>
        </w:tc>
        <w:tc>
          <w:tcPr>
            <w:tcW w:w="5145"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rPr>
              <w:t>教学感染力强，课堂教学气氛好。</w:t>
            </w:r>
          </w:p>
        </w:tc>
        <w:tc>
          <w:tcPr>
            <w:tcW w:w="1080"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5</w:t>
            </w:r>
          </w:p>
        </w:tc>
        <w:tc>
          <w:tcPr>
            <w:tcW w:w="1080" w:type="dxa"/>
            <w:vMerge w:val="continue"/>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275" w:type="dxa"/>
            <w:vMerge w:val="restart"/>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rPr>
              <w:t>教学</w:t>
            </w:r>
          </w:p>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特色</w:t>
            </w:r>
          </w:p>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lang w:val="en-US"/>
              </w:rPr>
              <w:t> </w:t>
            </w:r>
          </w:p>
        </w:tc>
        <w:tc>
          <w:tcPr>
            <w:tcW w:w="1080" w:type="dxa"/>
            <w:vMerge w:val="restart"/>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lang w:val="en-US"/>
              </w:rPr>
              <w:t> 20</w:t>
            </w:r>
          </w:p>
        </w:tc>
        <w:tc>
          <w:tcPr>
            <w:tcW w:w="5145"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rPr>
              <w:t>具有良好的专业素养、科学精神、人文情怀；教态大方，举止得体，精神饱满，综合素质高；个人教学特色突出。</w:t>
            </w:r>
          </w:p>
        </w:tc>
        <w:tc>
          <w:tcPr>
            <w:tcW w:w="1080"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10</w:t>
            </w:r>
          </w:p>
        </w:tc>
        <w:tc>
          <w:tcPr>
            <w:tcW w:w="1080" w:type="dxa"/>
            <w:vMerge w:val="restart"/>
            <w:tcBorders>
              <w:top w:val="nil"/>
              <w:left w:val="nil"/>
              <w:bottom w:val="single" w:color="000000" w:sz="6" w:space="0"/>
              <w:right w:val="single" w:color="000000" w:sz="6" w:space="0"/>
            </w:tcBorders>
            <w:noWrap w:val="0"/>
            <w:tcMar>
              <w:left w:w="105" w:type="dxa"/>
              <w:right w:w="105" w:type="dxa"/>
            </w:tcMar>
            <w:vAlign w:val="top"/>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275" w:type="dxa"/>
            <w:vMerge w:val="continue"/>
            <w:tcBorders>
              <w:top w:val="nil"/>
              <w:left w:val="single" w:color="000000" w:sz="6" w:space="0"/>
              <w:bottom w:val="single" w:color="000000" w:sz="6" w:space="0"/>
              <w:right w:val="single" w:color="000000" w:sz="6" w:space="0"/>
            </w:tcBorders>
            <w:noWrap w:val="0"/>
            <w:tcMar>
              <w:left w:w="105" w:type="dxa"/>
              <w:right w:w="105" w:type="dxa"/>
            </w:tcMar>
            <w:vAlign w:val="center"/>
          </w:tcPr>
          <w:p>
            <w:pPr>
              <w:rPr>
                <w:rFonts w:hint="eastAsia" w:ascii="宋体"/>
                <w:sz w:val="18"/>
                <w:szCs w:val="18"/>
              </w:rPr>
            </w:pPr>
          </w:p>
        </w:tc>
        <w:tc>
          <w:tcPr>
            <w:tcW w:w="1080" w:type="dxa"/>
            <w:vMerge w:val="continue"/>
            <w:tcBorders>
              <w:top w:val="nil"/>
              <w:left w:val="nil"/>
              <w:bottom w:val="single" w:color="000000" w:sz="6" w:space="0"/>
              <w:right w:val="single" w:color="000000" w:sz="6" w:space="0"/>
            </w:tcBorders>
            <w:noWrap w:val="0"/>
            <w:tcMar>
              <w:left w:w="105" w:type="dxa"/>
              <w:right w:w="105" w:type="dxa"/>
            </w:tcMar>
            <w:vAlign w:val="center"/>
          </w:tcPr>
          <w:p>
            <w:pPr>
              <w:rPr>
                <w:rFonts w:hint="eastAsia" w:ascii="宋体"/>
                <w:sz w:val="18"/>
                <w:szCs w:val="18"/>
              </w:rPr>
            </w:pPr>
          </w:p>
        </w:tc>
        <w:tc>
          <w:tcPr>
            <w:tcW w:w="5145"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left"/>
              <w:rPr>
                <w:rFonts w:hint="default" w:ascii="Arial" w:hAnsi="Arial" w:cs="Arial"/>
                <w:color w:val="262626"/>
                <w:sz w:val="21"/>
                <w:szCs w:val="21"/>
              </w:rPr>
            </w:pPr>
            <w:r>
              <w:rPr>
                <w:rFonts w:hint="eastAsia" w:ascii="宋体" w:hAnsi="宋体" w:eastAsia="宋体" w:cs="宋体"/>
                <w:color w:val="262626"/>
                <w:sz w:val="21"/>
                <w:szCs w:val="21"/>
              </w:rPr>
              <w:t>课堂教学能结合课程特色挖掘育人因素，课堂实施成效好，特色鲜明，具有较强的示范性。</w:t>
            </w:r>
          </w:p>
        </w:tc>
        <w:tc>
          <w:tcPr>
            <w:tcW w:w="1080"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10</w:t>
            </w:r>
          </w:p>
        </w:tc>
        <w:tc>
          <w:tcPr>
            <w:tcW w:w="1080" w:type="dxa"/>
            <w:vMerge w:val="continue"/>
            <w:tcBorders>
              <w:top w:val="nil"/>
              <w:left w:val="nil"/>
              <w:bottom w:val="single" w:color="000000" w:sz="6" w:space="0"/>
              <w:right w:val="single" w:color="000000" w:sz="6" w:space="0"/>
            </w:tcBorders>
            <w:noWrap w:val="0"/>
            <w:tcMar>
              <w:left w:w="105" w:type="dxa"/>
              <w:right w:w="105" w:type="dxa"/>
            </w:tcMar>
            <w:vAlign w:val="top"/>
          </w:tcPr>
          <w:p>
            <w:pPr>
              <w:rPr>
                <w:rFonts w:hint="eastAsia" w:ascii="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7500" w:type="dxa"/>
            <w:gridSpan w:val="3"/>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Style w:val="9"/>
                <w:rFonts w:hint="eastAsia" w:ascii="宋体" w:hAnsi="宋体" w:eastAsia="宋体" w:cs="宋体"/>
                <w:color w:val="262626"/>
                <w:sz w:val="21"/>
                <w:szCs w:val="21"/>
              </w:rPr>
              <w:t>合</w:t>
            </w:r>
            <w:r>
              <w:rPr>
                <w:rStyle w:val="9"/>
                <w:rFonts w:hint="eastAsia" w:ascii="宋体" w:hAnsi="宋体" w:eastAsia="宋体" w:cs="宋体"/>
                <w:color w:val="262626"/>
                <w:sz w:val="21"/>
                <w:szCs w:val="21"/>
                <w:lang w:val="en-US"/>
              </w:rPr>
              <w:t>    </w:t>
            </w:r>
            <w:r>
              <w:rPr>
                <w:rStyle w:val="9"/>
                <w:rFonts w:hint="eastAsia" w:ascii="宋体" w:hAnsi="宋体" w:eastAsia="宋体" w:cs="宋体"/>
                <w:color w:val="262626"/>
                <w:sz w:val="21"/>
                <w:szCs w:val="21"/>
              </w:rPr>
              <w:t>计</w:t>
            </w:r>
          </w:p>
        </w:tc>
        <w:tc>
          <w:tcPr>
            <w:tcW w:w="1080" w:type="dxa"/>
            <w:tcBorders>
              <w:top w:val="nil"/>
              <w:left w:val="nil"/>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100</w:t>
            </w:r>
          </w:p>
        </w:tc>
        <w:tc>
          <w:tcPr>
            <w:tcW w:w="1080" w:type="dxa"/>
            <w:tcBorders>
              <w:top w:val="nil"/>
              <w:left w:val="nil"/>
              <w:bottom w:val="single" w:color="000000" w:sz="6" w:space="0"/>
              <w:right w:val="single" w:color="000000" w:sz="6" w:space="0"/>
            </w:tcBorders>
            <w:noWrap w:val="0"/>
            <w:tcMar>
              <w:left w:w="105" w:type="dxa"/>
              <w:right w:w="105" w:type="dxa"/>
            </w:tcMar>
            <w:vAlign w:val="top"/>
          </w:tcPr>
          <w:p>
            <w:pPr>
              <w:pStyle w:val="5"/>
              <w:keepNext w:val="0"/>
              <w:keepLines w:val="0"/>
              <w:widowControl/>
              <w:suppressLineNumbers w:val="0"/>
              <w:spacing w:before="0" w:beforeAutospacing="0" w:after="0" w:afterAutospacing="0" w:line="357" w:lineRule="atLeast"/>
              <w:ind w:left="0" w:right="0"/>
              <w:jc w:val="center"/>
              <w:rPr>
                <w:rFonts w:hint="default" w:ascii="Arial" w:hAnsi="Arial" w:cs="Arial"/>
                <w:color w:val="262626"/>
                <w:sz w:val="21"/>
                <w:szCs w:val="21"/>
              </w:rPr>
            </w:pPr>
            <w:r>
              <w:rPr>
                <w:rFonts w:hint="eastAsia" w:ascii="宋体" w:hAnsi="宋体" w:eastAsia="宋体" w:cs="宋体"/>
                <w:color w:val="262626"/>
                <w:sz w:val="21"/>
                <w:szCs w:val="21"/>
                <w:lang w:val="en-US"/>
              </w:rPr>
              <w:t> </w:t>
            </w:r>
          </w:p>
        </w:tc>
      </w:tr>
    </w:tbl>
    <w:p>
      <w:pPr>
        <w:autoSpaceDE w:val="0"/>
        <w:autoSpaceDN w:val="0"/>
        <w:adjustRightInd w:val="0"/>
        <w:spacing w:line="360" w:lineRule="auto"/>
        <w:jc w:val="left"/>
        <w:rPr>
          <w:rFonts w:hint="eastAsia" w:cs="宋体" w:asciiTheme="majorEastAsia" w:hAnsiTheme="majorEastAsia" w:eastAsiaTheme="majorEastAsia"/>
          <w:color w:val="000000"/>
          <w:kern w:val="0"/>
          <w:sz w:val="28"/>
          <w:szCs w:val="28"/>
          <w:highlight w:val="none"/>
        </w:rPr>
      </w:pPr>
    </w:p>
    <w:p>
      <w:pPr>
        <w:autoSpaceDE w:val="0"/>
        <w:autoSpaceDN w:val="0"/>
        <w:adjustRightInd w:val="0"/>
        <w:spacing w:line="360" w:lineRule="auto"/>
        <w:jc w:val="left"/>
        <w:rPr>
          <w:rFonts w:hint="default" w:cs="宋体" w:asciiTheme="majorEastAsia" w:hAnsiTheme="majorEastAsia" w:eastAsiaTheme="majorEastAsia"/>
          <w:color w:val="000000"/>
          <w:kern w:val="0"/>
          <w:sz w:val="28"/>
          <w:szCs w:val="28"/>
          <w:highlight w:val="none"/>
          <w:lang w:val="en-US" w:eastAsia="zh-CN"/>
        </w:rPr>
      </w:pPr>
      <w:r>
        <w:rPr>
          <w:rFonts w:hint="eastAsia" w:cs="宋体" w:asciiTheme="majorEastAsia" w:hAnsiTheme="majorEastAsia" w:eastAsiaTheme="majorEastAsia"/>
          <w:color w:val="000000"/>
          <w:kern w:val="0"/>
          <w:sz w:val="28"/>
          <w:szCs w:val="28"/>
          <w:highlight w:val="none"/>
          <w:lang w:val="en-US" w:eastAsia="zh-CN"/>
        </w:rPr>
        <w:t xml:space="preserve">                                                     评委签字：</w:t>
      </w:r>
      <w:bookmarkStart w:id="0" w:name="_GoBack"/>
      <w:bookmarkEnd w:id="0"/>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359C"/>
    <w:rsid w:val="00005BD5"/>
    <w:rsid w:val="00011FAE"/>
    <w:rsid w:val="0004359C"/>
    <w:rsid w:val="00045BBB"/>
    <w:rsid w:val="000607C6"/>
    <w:rsid w:val="00070D69"/>
    <w:rsid w:val="000A1171"/>
    <w:rsid w:val="000C44D2"/>
    <w:rsid w:val="00152F18"/>
    <w:rsid w:val="001709B0"/>
    <w:rsid w:val="001A7996"/>
    <w:rsid w:val="00203B5C"/>
    <w:rsid w:val="002D28BF"/>
    <w:rsid w:val="002E2B1E"/>
    <w:rsid w:val="002F3330"/>
    <w:rsid w:val="0031489E"/>
    <w:rsid w:val="00325C60"/>
    <w:rsid w:val="00347DA1"/>
    <w:rsid w:val="003667D5"/>
    <w:rsid w:val="00384102"/>
    <w:rsid w:val="00391B7B"/>
    <w:rsid w:val="003B5C44"/>
    <w:rsid w:val="003C157F"/>
    <w:rsid w:val="003C4D82"/>
    <w:rsid w:val="003E1FC0"/>
    <w:rsid w:val="00436381"/>
    <w:rsid w:val="00476C81"/>
    <w:rsid w:val="0048164F"/>
    <w:rsid w:val="00495423"/>
    <w:rsid w:val="0052644F"/>
    <w:rsid w:val="00564518"/>
    <w:rsid w:val="005722F7"/>
    <w:rsid w:val="00592E23"/>
    <w:rsid w:val="005C3396"/>
    <w:rsid w:val="005D0756"/>
    <w:rsid w:val="005E61DE"/>
    <w:rsid w:val="005F29DD"/>
    <w:rsid w:val="00667223"/>
    <w:rsid w:val="006C5702"/>
    <w:rsid w:val="006E513A"/>
    <w:rsid w:val="00704CEE"/>
    <w:rsid w:val="00726742"/>
    <w:rsid w:val="007C7FCB"/>
    <w:rsid w:val="007D467C"/>
    <w:rsid w:val="007E195E"/>
    <w:rsid w:val="007F4E02"/>
    <w:rsid w:val="008B2BA8"/>
    <w:rsid w:val="008B4EFC"/>
    <w:rsid w:val="00931D3F"/>
    <w:rsid w:val="009706E6"/>
    <w:rsid w:val="009D25D8"/>
    <w:rsid w:val="00A046A6"/>
    <w:rsid w:val="00A37E67"/>
    <w:rsid w:val="00AE45CA"/>
    <w:rsid w:val="00C35093"/>
    <w:rsid w:val="00C62C54"/>
    <w:rsid w:val="00C94BF5"/>
    <w:rsid w:val="00CB6713"/>
    <w:rsid w:val="00CF655D"/>
    <w:rsid w:val="00D16BF5"/>
    <w:rsid w:val="00D20F38"/>
    <w:rsid w:val="00D24A06"/>
    <w:rsid w:val="00D71344"/>
    <w:rsid w:val="00D74A3B"/>
    <w:rsid w:val="00D75570"/>
    <w:rsid w:val="00DA089A"/>
    <w:rsid w:val="00DC49A4"/>
    <w:rsid w:val="00DF6037"/>
    <w:rsid w:val="00E36BB7"/>
    <w:rsid w:val="00E535D5"/>
    <w:rsid w:val="00EC1BCB"/>
    <w:rsid w:val="00EF6AF3"/>
    <w:rsid w:val="00F1539E"/>
    <w:rsid w:val="00F432B1"/>
    <w:rsid w:val="00F51A64"/>
    <w:rsid w:val="00F52473"/>
    <w:rsid w:val="057555CD"/>
    <w:rsid w:val="0C026021"/>
    <w:rsid w:val="0F6D0567"/>
    <w:rsid w:val="11EB07DB"/>
    <w:rsid w:val="14491285"/>
    <w:rsid w:val="16555B3D"/>
    <w:rsid w:val="165E1133"/>
    <w:rsid w:val="1B4476D0"/>
    <w:rsid w:val="1E5016F6"/>
    <w:rsid w:val="2C1E0FE9"/>
    <w:rsid w:val="361F771E"/>
    <w:rsid w:val="364315C9"/>
    <w:rsid w:val="37F04C8E"/>
    <w:rsid w:val="38EF7DAC"/>
    <w:rsid w:val="3B8F1C8B"/>
    <w:rsid w:val="3EA303EC"/>
    <w:rsid w:val="464C3BDE"/>
    <w:rsid w:val="4D2B2294"/>
    <w:rsid w:val="53D967E6"/>
    <w:rsid w:val="58A208F0"/>
    <w:rsid w:val="5A0626FA"/>
    <w:rsid w:val="5BF60EF2"/>
    <w:rsid w:val="60F061DA"/>
    <w:rsid w:val="671E1A4B"/>
    <w:rsid w:val="67221D2D"/>
    <w:rsid w:val="6730785F"/>
    <w:rsid w:val="68636C98"/>
    <w:rsid w:val="6B0D486E"/>
    <w:rsid w:val="6C0F1880"/>
    <w:rsid w:val="6D8B68C3"/>
    <w:rsid w:val="725E329B"/>
    <w:rsid w:val="7C8E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387</Words>
  <Characters>2207</Characters>
  <Lines>18</Lines>
  <Paragraphs>5</Paragraphs>
  <TotalTime>135</TotalTime>
  <ScaleCrop>false</ScaleCrop>
  <LinksUpToDate>false</LinksUpToDate>
  <CharactersWithSpaces>2589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2019-11-04T06:30:00Z</dcterms:created>
  <dc:creator>hp</dc:creator>
  <cp:lastModifiedBy>郭利辉</cp:lastModifiedBy>
  <cp:lastPrinted>2021-11-05T07:29:00Z</cp:lastPrinted>
  <dcterms:modified xsi:type="dcterms:W3CDTF">2022-03-10T06:16:36Z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9C253698B3E7457C85F126471846C221</vt:lpwstr>
  </property>
</Properties>
</file>