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cs="仿宋_GB2312" w:hint="eastAsia"/>
          <w:b/>
          <w:bCs/>
          <w:sz w:val="32"/>
          <w:szCs w:val="32"/>
        </w:rPr>
        <w:t>附件</w:t>
      </w:r>
      <w:r>
        <w:rPr>
          <w:rFonts w:ascii="仿宋" w:eastAsia="仿宋" w:cs="仿宋_GB2312"/>
          <w:b/>
          <w:bCs/>
          <w:sz w:val="32"/>
          <w:szCs w:val="32"/>
        </w:rPr>
        <w:t>1</w:t>
      </w:r>
      <w:bookmarkStart w:id="0" w:name="_GoBack"/>
      <w:bookmarkEnd w:id="0"/>
    </w:p>
    <w:p>
      <w:pPr>
        <w:spacing w:beforeLines="50" w:before="204"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2024—2025学年“五四”综合表彰</w:t>
      </w:r>
    </w:p>
    <w:p>
      <w:pPr>
        <w:spacing w:afterLines="50" w:after="204"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“最美团支书”评选活动初审评选细则</w:t>
      </w:r>
    </w:p>
    <w:p>
      <w:pPr>
        <w:spacing w:beforeLines="25" w:before="102" w:afterLines="25" w:after="102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第一条  总则</w:t>
      </w:r>
    </w:p>
    <w:p>
      <w:pPr>
        <w:spacing w:line="460" w:lineRule="exact"/>
        <w:ind w:firstLineChars="200" w:firstLine="640"/>
        <w:rPr>
          <w:rFonts w:ascii="仿宋" w:eastAsia="仿宋"/>
          <w:b/>
          <w:bCs/>
          <w:sz w:val="36"/>
          <w:szCs w:val="36"/>
        </w:rPr>
      </w:pPr>
      <w:r>
        <w:rPr>
          <w:rFonts w:ascii="仿宋" w:eastAsia="仿宋" w:hint="eastAsia"/>
          <w:sz w:val="32"/>
          <w:szCs w:val="32"/>
        </w:rPr>
        <w:t>（一）由院团委综合考察评选对象的工作表现，依据评选活动推荐名额分配表，推荐</w:t>
      </w:r>
      <w:r>
        <w:rPr>
          <w:rFonts w:ascii="仿宋" w:eastAsia="仿宋"/>
          <w:sz w:val="32"/>
          <w:szCs w:val="32"/>
        </w:rPr>
        <w:t>55</w:t>
      </w:r>
      <w:r>
        <w:rPr>
          <w:rFonts w:ascii="仿宋" w:eastAsia="仿宋" w:hint="eastAsia"/>
          <w:sz w:val="32"/>
          <w:szCs w:val="32"/>
        </w:rPr>
        <w:t>位参评对象进入校级初审。由校团委根据申报材料和《团支部工作手册》情况，按照本细则进行初审，</w:t>
      </w:r>
      <w:r>
        <w:rPr>
          <w:rFonts w:ascii="仿宋" w:eastAsia="仿宋" w:hint="eastAsia"/>
          <w:sz w:val="32"/>
          <w:szCs w:val="32"/>
          <w:lang w:val="en-US" w:eastAsia="zh-CN"/>
        </w:rPr>
        <w:t>加权</w:t>
      </w:r>
      <w:r>
        <w:rPr>
          <w:rFonts w:ascii="仿宋" w:eastAsia="仿宋" w:hint="eastAsia"/>
          <w:sz w:val="32"/>
          <w:szCs w:val="32"/>
        </w:rPr>
        <w:t>得分排名前40的候选人进入现场展示评比；</w:t>
      </w:r>
    </w:p>
    <w:p>
      <w:pPr>
        <w:spacing w:line="460" w:lineRule="exact"/>
        <w:ind w:firstLineChars="200" w:firstLine="640"/>
        <w:rPr>
          <w:rFonts w:ascii="仿宋" w:eastAsia="仿宋"/>
          <w:b/>
          <w:bCs/>
          <w:sz w:val="36"/>
          <w:szCs w:val="36"/>
        </w:rPr>
      </w:pPr>
      <w:r>
        <w:rPr>
          <w:rFonts w:ascii="仿宋" w:eastAsia="仿宋" w:hint="eastAsia"/>
          <w:sz w:val="32"/>
          <w:szCs w:val="32"/>
        </w:rPr>
        <w:t>（二）初审综合得分由申报材料考核评分和《团支部工作手册》考核评分两部分构成；</w:t>
      </w:r>
    </w:p>
    <w:p>
      <w:pPr>
        <w:spacing w:line="460" w:lineRule="exact"/>
        <w:ind w:firstLineChars="200" w:firstLine="640"/>
        <w:rPr>
          <w:rFonts w:ascii="仿宋" w:eastAsia="仿宋"/>
          <w:color w:val="FF000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（三）计算公式：初审综合得分=申报材料得分（百分制）×</w:t>
      </w:r>
      <w:r>
        <w:rPr>
          <w:rFonts w:ascii="仿宋" w:eastAsia="仿宋"/>
          <w:sz w:val="32"/>
          <w:szCs w:val="32"/>
        </w:rPr>
        <w:t>60</w:t>
      </w:r>
      <w:r>
        <w:rPr>
          <w:rFonts w:ascii="仿宋" w:eastAsia="仿宋" w:hint="eastAsia"/>
          <w:sz w:val="32"/>
          <w:szCs w:val="32"/>
        </w:rPr>
        <w:t>%+《团支部工作手册》评分（百分制）×</w:t>
      </w:r>
      <w:r>
        <w:rPr>
          <w:rFonts w:ascii="仿宋" w:eastAsia="仿宋"/>
          <w:sz w:val="32"/>
          <w:szCs w:val="32"/>
        </w:rPr>
        <w:t>40</w:t>
      </w:r>
      <w:r>
        <w:rPr>
          <w:rFonts w:ascii="仿宋" w:eastAsia="仿宋" w:hint="eastAsia"/>
          <w:sz w:val="32"/>
          <w:szCs w:val="32"/>
        </w:rPr>
        <w:t>%。</w:t>
      </w:r>
    </w:p>
    <w:p>
      <w:pPr>
        <w:spacing w:beforeLines="25" w:before="102" w:afterLines="25" w:after="102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第二条  申报材料量化评分标准（100分）</w:t>
      </w:r>
    </w:p>
    <w:p>
      <w:pPr>
        <w:spacing w:line="4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1.理想信念坚定。</w:t>
      </w:r>
      <w:r>
        <w:rPr>
          <w:rFonts w:ascii="仿宋" w:eastAsia="仿宋" w:hint="eastAsia"/>
          <w:sz w:val="32"/>
          <w:szCs w:val="32"/>
        </w:rPr>
        <w:t>深入学习党的二十届三中全会精神，全面贯彻习近平新时代中国特色社会主义思想，深刻领悟“两个确立”的决定性意义，增强“四个意识”、坚定“四个自信”、做到“两个维护”，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>
      <w:pPr>
        <w:spacing w:line="4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2.工作本领过硬</w:t>
      </w:r>
      <w:r>
        <w:rPr>
          <w:rFonts w:ascii="仿宋" w:eastAsia="仿宋" w:hint="eastAsia"/>
          <w:sz w:val="32"/>
          <w:szCs w:val="32"/>
        </w:rPr>
        <w:t>。能够严格执行“三会两制一课”“团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>
      <w:pPr>
        <w:spacing w:line="460" w:lineRule="exact"/>
        <w:ind w:firstLineChars="200" w:firstLine="640"/>
        <w:rPr>
          <w:rFonts w:ascii="仿宋_GB2312" w:hAnsi="仿宋_GB2312"/>
          <w:sz w:val="28"/>
          <w:szCs w:val="28"/>
        </w:rPr>
      </w:pPr>
      <w:r>
        <w:rPr>
          <w:rFonts w:ascii="仿宋" w:eastAsia="仿宋" w:hint="eastAsia"/>
          <w:sz w:val="32"/>
          <w:szCs w:val="32"/>
        </w:rPr>
        <w:t>3.</w:t>
      </w:r>
      <w:r>
        <w:rPr>
          <w:rFonts w:ascii="仿宋" w:eastAsia="仿宋" w:hint="eastAsia"/>
          <w:b/>
          <w:bCs/>
          <w:sz w:val="32"/>
          <w:szCs w:val="32"/>
        </w:rPr>
        <w:t>模范作用突出</w:t>
      </w:r>
      <w:r>
        <w:rPr>
          <w:rFonts w:ascii="仿宋" w:eastAsia="仿宋" w:hint="eastAsia"/>
          <w:sz w:val="32"/>
          <w:szCs w:val="32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>
      <w:pPr>
        <w:spacing w:line="4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</w:t>
      </w:r>
      <w:r>
        <w:rPr>
          <w:rFonts w:ascii="仿宋" w:eastAsia="仿宋" w:hint="eastAsia"/>
          <w:b/>
          <w:bCs/>
          <w:sz w:val="32"/>
          <w:szCs w:val="32"/>
        </w:rPr>
        <w:t>.敢于担当作为</w:t>
      </w:r>
      <w:r>
        <w:rPr>
          <w:rFonts w:ascii="仿宋" w:eastAsia="仿宋" w:hint="eastAsia"/>
          <w:sz w:val="32"/>
          <w:szCs w:val="32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>
      <w:pPr>
        <w:spacing w:beforeLines="25" w:before="102" w:afterLines="25" w:after="102" w:line="560" w:lineRule="exact"/>
        <w:ind w:firstLineChars="200" w:firstLine="64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第三条  团支部工作手册量化评分标准（100分）</w:t>
      </w:r>
    </w:p>
    <w:p>
      <w:pPr>
        <w:spacing w:line="560" w:lineRule="exact"/>
        <w:ind w:firstLineChars="200" w:firstLine="640"/>
        <w:rPr>
          <w:rFonts w:ascii="楷体" w:eastAsia="楷体"/>
          <w:bCs/>
          <w:color w:val="000000"/>
          <w:sz w:val="32"/>
          <w:szCs w:val="32"/>
        </w:rPr>
      </w:pPr>
      <w:r>
        <w:rPr>
          <w:rFonts w:ascii="楷体" w:eastAsia="楷体" w:hint="eastAsia"/>
          <w:bCs/>
          <w:color w:val="000000"/>
          <w:sz w:val="32"/>
          <w:szCs w:val="32"/>
        </w:rPr>
        <w:t>（一）团日活动（</w:t>
      </w:r>
      <w:r>
        <w:rPr>
          <w:rFonts w:ascii="楷体" w:eastAsia="楷体"/>
          <w:bCs/>
          <w:color w:val="000000"/>
          <w:sz w:val="32"/>
          <w:szCs w:val="32"/>
        </w:rPr>
        <w:t>60</w:t>
      </w:r>
      <w:r>
        <w:rPr>
          <w:rFonts w:ascii="楷体" w:eastAsia="楷体" w:hint="eastAsia"/>
          <w:bCs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1.</w:t>
      </w:r>
      <w:r>
        <w:rPr>
          <w:rFonts w:ascii="仿宋" w:eastAsia="仿宋" w:hint="eastAsia"/>
          <w:color w:val="000000"/>
          <w:sz w:val="32"/>
          <w:szCs w:val="32"/>
        </w:rPr>
        <w:t>结合上级团组织要求与工作实际，积极开展主题团日活动，团日活动记录表能及时更新并按时上交，材料填写格式符合要求；（1</w:t>
      </w:r>
      <w:r>
        <w:rPr>
          <w:rFonts w:ascii="仿宋" w:eastAsia="仿宋"/>
          <w:color w:val="000000"/>
          <w:sz w:val="32"/>
          <w:szCs w:val="32"/>
        </w:rPr>
        <w:t>0</w:t>
      </w:r>
      <w:r>
        <w:rPr>
          <w:rFonts w:ascii="仿宋" w:eastAsia="仿宋" w:hint="eastAsia"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2.</w:t>
      </w:r>
      <w:r>
        <w:rPr>
          <w:rFonts w:ascii="仿宋" w:eastAsia="仿宋" w:hint="eastAsia"/>
          <w:color w:val="000000"/>
          <w:sz w:val="32"/>
          <w:szCs w:val="32"/>
        </w:rPr>
        <w:t>团日活动主题紧贴团日活动指南，内容丰富、形式新颖、具备学科特色，时间与空间安排灵活合理；（1</w:t>
      </w:r>
      <w:r>
        <w:rPr>
          <w:rFonts w:ascii="仿宋" w:eastAsia="仿宋"/>
          <w:color w:val="000000"/>
          <w:sz w:val="32"/>
          <w:szCs w:val="32"/>
        </w:rPr>
        <w:t>0</w:t>
      </w:r>
      <w:r>
        <w:rPr>
          <w:rFonts w:ascii="仿宋" w:eastAsia="仿宋" w:hint="eastAsia"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3.团日活动记录表内容完备详实，图文并茂，能够切实反映团日活动开展情况，并有丰富的多媒体材料支撑；（1</w:t>
      </w:r>
      <w:r>
        <w:rPr>
          <w:rFonts w:ascii="仿宋" w:eastAsia="仿宋"/>
          <w:color w:val="000000"/>
          <w:sz w:val="32"/>
          <w:szCs w:val="32"/>
        </w:rPr>
        <w:t>0</w:t>
      </w:r>
      <w:r>
        <w:rPr>
          <w:rFonts w:ascii="仿宋" w:eastAsia="仿宋" w:hint="eastAsia"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4.</w:t>
      </w:r>
      <w:r>
        <w:rPr>
          <w:rFonts w:ascii="仿宋" w:eastAsia="仿宋" w:hint="eastAsia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>
        <w:rPr>
          <w:rFonts w:ascii="仿宋" w:eastAsia="仿宋"/>
          <w:color w:val="000000"/>
          <w:sz w:val="32"/>
          <w:szCs w:val="32"/>
        </w:rPr>
        <w:t>10</w:t>
      </w:r>
      <w:r>
        <w:rPr>
          <w:rFonts w:ascii="仿宋" w:eastAsia="仿宋" w:hint="eastAsia"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5</w:t>
      </w:r>
      <w:r>
        <w:rPr>
          <w:rFonts w:ascii="仿宋" w:eastAsia="仿宋"/>
          <w:color w:val="000000"/>
          <w:sz w:val="32"/>
          <w:szCs w:val="32"/>
        </w:rPr>
        <w:t>.</w:t>
      </w:r>
      <w:r>
        <w:rPr>
          <w:rFonts w:ascii="仿宋" w:eastAsia="仿宋" w:hint="eastAsia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>
        <w:rPr>
          <w:rFonts w:ascii="仿宋" w:eastAsia="仿宋"/>
          <w:color w:val="000000"/>
          <w:sz w:val="32"/>
          <w:szCs w:val="32"/>
        </w:rPr>
        <w:t>90%</w:t>
      </w:r>
      <w:r>
        <w:rPr>
          <w:rFonts w:ascii="仿宋" w:eastAsia="仿宋" w:hint="eastAsia"/>
          <w:color w:val="000000"/>
          <w:sz w:val="32"/>
          <w:szCs w:val="32"/>
        </w:rPr>
        <w:t>及以上；（1</w:t>
      </w:r>
      <w:r>
        <w:rPr>
          <w:rFonts w:ascii="仿宋" w:eastAsia="仿宋"/>
          <w:color w:val="000000"/>
          <w:sz w:val="32"/>
          <w:szCs w:val="32"/>
        </w:rPr>
        <w:t>0</w:t>
      </w:r>
      <w:r>
        <w:rPr>
          <w:rFonts w:ascii="仿宋" w:eastAsia="仿宋" w:hint="eastAsia"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6.团支部自2024年4月以来团日活动次数达6次及以上计</w:t>
      </w:r>
      <w:r>
        <w:rPr>
          <w:rFonts w:ascii="仿宋" w:eastAsia="仿宋"/>
          <w:color w:val="000000"/>
          <w:sz w:val="32"/>
          <w:szCs w:val="32"/>
        </w:rPr>
        <w:t>10</w:t>
      </w:r>
      <w:r>
        <w:rPr>
          <w:rFonts w:ascii="仿宋" w:eastAsia="仿宋" w:hint="eastAsia"/>
          <w:color w:val="000000"/>
          <w:sz w:val="32"/>
          <w:szCs w:val="32"/>
        </w:rPr>
        <w:t>分，</w:t>
      </w:r>
      <w:r>
        <w:rPr>
          <w:rFonts w:ascii="仿宋" w:eastAsia="仿宋"/>
          <w:color w:val="000000"/>
          <w:sz w:val="32"/>
          <w:szCs w:val="32"/>
        </w:rPr>
        <w:t>4</w:t>
      </w:r>
      <w:r>
        <w:rPr>
          <w:rFonts w:ascii="仿宋" w:eastAsia="仿宋" w:hint="eastAsia"/>
          <w:color w:val="000000"/>
          <w:sz w:val="32"/>
          <w:szCs w:val="32"/>
        </w:rPr>
        <w:t>次及以上计8分，2次及以上计</w:t>
      </w:r>
      <w:r>
        <w:rPr>
          <w:rFonts w:ascii="仿宋" w:eastAsia="仿宋"/>
          <w:color w:val="000000"/>
          <w:sz w:val="32"/>
          <w:szCs w:val="32"/>
        </w:rPr>
        <w:t>5</w:t>
      </w:r>
      <w:r>
        <w:rPr>
          <w:rFonts w:ascii="仿宋" w:eastAsia="仿宋" w:hint="eastAsia"/>
          <w:color w:val="000000"/>
          <w:sz w:val="32"/>
          <w:szCs w:val="32"/>
        </w:rPr>
        <w:t>分，2次以下计</w:t>
      </w:r>
      <w:r>
        <w:rPr>
          <w:rFonts w:ascii="仿宋" w:eastAsia="仿宋"/>
          <w:color w:val="000000"/>
          <w:sz w:val="32"/>
          <w:szCs w:val="32"/>
        </w:rPr>
        <w:t>3</w:t>
      </w:r>
      <w:r>
        <w:rPr>
          <w:rFonts w:ascii="仿宋" w:eastAsia="仿宋" w:hint="eastAsia"/>
          <w:color w:val="000000"/>
          <w:sz w:val="32"/>
          <w:szCs w:val="32"/>
        </w:rPr>
        <w:t>分，不举办不得分。（</w:t>
      </w:r>
      <w:r>
        <w:rPr>
          <w:rFonts w:ascii="仿宋" w:eastAsia="仿宋"/>
          <w:color w:val="000000"/>
          <w:sz w:val="32"/>
          <w:szCs w:val="32"/>
        </w:rPr>
        <w:t>10</w:t>
      </w:r>
      <w:r>
        <w:rPr>
          <w:rFonts w:ascii="仿宋" w:eastAsia="仿宋" w:hint="eastAsia"/>
          <w:color w:val="000000"/>
          <w:sz w:val="32"/>
          <w:szCs w:val="32"/>
        </w:rPr>
        <w:t>分）</w:t>
      </w:r>
    </w:p>
    <w:p>
      <w:pPr>
        <w:spacing w:line="560" w:lineRule="exact"/>
        <w:ind w:firstLineChars="200" w:firstLine="640"/>
        <w:rPr>
          <w:rFonts w:ascii="楷体" w:eastAsia="楷体"/>
          <w:b/>
          <w:color w:val="000000"/>
          <w:sz w:val="32"/>
          <w:szCs w:val="32"/>
        </w:rPr>
      </w:pPr>
      <w:r>
        <w:rPr>
          <w:rFonts w:ascii="楷体" w:eastAsia="楷体" w:hint="eastAsia"/>
          <w:bCs/>
          <w:color w:val="000000"/>
          <w:sz w:val="32"/>
          <w:szCs w:val="32"/>
        </w:rPr>
        <w:t>（二）“思想旗帜”专项（</w:t>
      </w:r>
      <w:r>
        <w:rPr>
          <w:rFonts w:ascii="楷体" w:eastAsia="楷体"/>
          <w:bCs/>
          <w:color w:val="000000"/>
          <w:sz w:val="32"/>
          <w:szCs w:val="32"/>
        </w:rPr>
        <w:t>10</w:t>
      </w:r>
      <w:r>
        <w:rPr>
          <w:rFonts w:ascii="楷体" w:eastAsia="楷体" w:hint="eastAsia"/>
          <w:bCs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28"/>
        </w:rPr>
      </w:pPr>
      <w:r>
        <w:rPr>
          <w:rFonts w:ascii="仿宋" w:eastAsia="仿宋" w:hint="eastAsia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>
      <w:pPr>
        <w:spacing w:line="560" w:lineRule="exact"/>
        <w:ind w:firstLineChars="200" w:firstLine="640"/>
        <w:rPr>
          <w:rFonts w:ascii="楷体" w:eastAsia="楷体"/>
          <w:bCs/>
          <w:color w:val="000000"/>
          <w:sz w:val="32"/>
          <w:szCs w:val="32"/>
        </w:rPr>
      </w:pPr>
      <w:r>
        <w:rPr>
          <w:rFonts w:ascii="楷体" w:eastAsia="楷体" w:hint="eastAsia"/>
          <w:bCs/>
          <w:color w:val="000000"/>
          <w:sz w:val="32"/>
          <w:szCs w:val="32"/>
        </w:rPr>
        <w:t>（三）“坚强核心”专项（</w:t>
      </w:r>
      <w:r>
        <w:rPr>
          <w:rFonts w:ascii="楷体" w:eastAsia="楷体"/>
          <w:bCs/>
          <w:color w:val="000000"/>
          <w:sz w:val="32"/>
          <w:szCs w:val="32"/>
        </w:rPr>
        <w:t>10</w:t>
      </w:r>
      <w:r>
        <w:rPr>
          <w:rFonts w:ascii="楷体" w:eastAsia="楷体" w:hint="eastAsia"/>
          <w:bCs/>
          <w:color w:val="000000"/>
          <w:sz w:val="32"/>
          <w:szCs w:val="32"/>
        </w:rPr>
        <w:t>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28"/>
        </w:rPr>
      </w:pPr>
      <w:r>
        <w:rPr>
          <w:rFonts w:ascii="仿宋" w:eastAsia="仿宋" w:hint="eastAsia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受到国家的信仰和青年的力量，让初心薪火相传，把使命永担在肩。</w:t>
      </w:r>
    </w:p>
    <w:p>
      <w:pPr>
        <w:spacing w:line="560" w:lineRule="exact"/>
        <w:ind w:firstLineChars="200" w:firstLine="640"/>
        <w:rPr>
          <w:rFonts w:ascii="楷体" w:eastAsia="楷体"/>
          <w:bCs/>
          <w:color w:val="000000"/>
          <w:sz w:val="32"/>
          <w:szCs w:val="32"/>
        </w:rPr>
      </w:pPr>
      <w:r>
        <w:rPr>
          <w:rFonts w:ascii="楷体" w:eastAsia="楷体" w:hint="eastAsia"/>
          <w:bCs/>
          <w:color w:val="000000"/>
          <w:sz w:val="32"/>
          <w:szCs w:val="32"/>
        </w:rPr>
        <w:t>（四）“强国复兴”专项（10分）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28"/>
        </w:rPr>
      </w:pPr>
      <w:r>
        <w:rPr>
          <w:rFonts w:ascii="仿宋" w:eastAsia="仿宋" w:hint="eastAsia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>
      <w:pPr>
        <w:spacing w:line="560" w:lineRule="exact"/>
        <w:ind w:firstLineChars="200" w:firstLine="640"/>
        <w:rPr>
          <w:rFonts w:ascii="楷体" w:eastAsia="楷体"/>
          <w:bCs/>
          <w:color w:val="000000"/>
          <w:sz w:val="32"/>
          <w:szCs w:val="32"/>
        </w:rPr>
      </w:pPr>
      <w:r>
        <w:rPr>
          <w:rFonts w:ascii="楷体" w:eastAsia="楷体" w:hint="eastAsia"/>
          <w:bCs/>
          <w:color w:val="000000"/>
          <w:sz w:val="32"/>
          <w:szCs w:val="32"/>
        </w:rPr>
        <w:t>（五）“挺膺担当”专项（10分）</w:t>
      </w:r>
    </w:p>
    <w:p>
      <w:pPr>
        <w:spacing w:line="460" w:lineRule="exact"/>
        <w:ind w:firstLineChars="200" w:firstLine="640"/>
        <w:rPr>
          <w:rFonts w:ascii="仿宋" w:eastAsia="仿宋"/>
          <w:color w:val="000000"/>
          <w:sz w:val="32"/>
          <w:szCs w:val="28"/>
        </w:rPr>
      </w:pPr>
      <w:r>
        <w:rPr>
          <w:rFonts w:ascii="仿宋" w:eastAsia="仿宋" w:hint="eastAsia"/>
          <w:color w:val="000000"/>
          <w:sz w:val="32"/>
          <w:szCs w:val="28"/>
        </w:rPr>
        <w:t>支部认真组织开展团员和青年“挺膺担当”主题教育学习，创新特色开展团日活动，把控活动时间与质量，通过支部组织生活会、学习讨论、座谈研讨、征文演讲等方式进行形式多样的学习教育活动，激励团员青年坚定理想信念，紧跟时代步伐，挺膺担当，努力在青春的赛道上奔跑出当代青年最好的成绩，淬炼新时代的伟大成就中呈现的精神品格，以锐意进取的姿态，践行新的时代使命。</w:t>
      </w:r>
    </w:p>
    <w:p>
      <w:pPr>
        <w:spacing w:beforeLines="25" w:before="102" w:afterLines="25" w:after="102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第四条  附加项</w:t>
      </w:r>
    </w:p>
    <w:p>
      <w:pPr>
        <w:spacing w:line="4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如有以下情况，并可在</w:t>
      </w:r>
      <w:r>
        <w:rPr>
          <w:rFonts w:ascii="仿宋" w:eastAsia="仿宋" w:hint="eastAsia"/>
          <w:b/>
          <w:bCs/>
          <w:sz w:val="32"/>
          <w:szCs w:val="32"/>
        </w:rPr>
        <w:t>申报材料</w:t>
      </w:r>
      <w:r>
        <w:rPr>
          <w:rFonts w:ascii="仿宋" w:eastAsia="仿宋" w:hint="eastAsia"/>
          <w:sz w:val="32"/>
          <w:szCs w:val="32"/>
        </w:rPr>
        <w:t>中提供</w:t>
      </w:r>
      <w:r>
        <w:rPr>
          <w:rFonts w:ascii="仿宋" w:eastAsia="仿宋" w:hint="eastAsia"/>
          <w:b/>
          <w:bCs/>
          <w:sz w:val="32"/>
          <w:szCs w:val="32"/>
        </w:rPr>
        <w:t>证明材料</w:t>
      </w:r>
      <w:r>
        <w:rPr>
          <w:rFonts w:ascii="仿宋" w:eastAsia="仿宋" w:hint="eastAsia"/>
          <w:sz w:val="32"/>
          <w:szCs w:val="32"/>
        </w:rPr>
        <w:t>，评选时在原有100分满分基础上另行加分，作为附加分：</w:t>
      </w:r>
    </w:p>
    <w:p>
      <w:pPr>
        <w:spacing w:line="4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>
      <w:pPr>
        <w:spacing w:beforeLines="25" w:before="102" w:afterLines="25" w:after="102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第五条  附则</w:t>
      </w:r>
    </w:p>
    <w:p>
      <w:pPr>
        <w:spacing w:beforeLines="25" w:before="102" w:afterLines="25" w:after="102" w:line="460" w:lineRule="exact"/>
        <w:ind w:firstLineChars="200" w:firstLine="640"/>
        <w:rPr>
          <w:rFonts w:ascii="仿宋" w:eastAsia="仿宋"/>
          <w:b/>
          <w:bCs/>
          <w:sz w:val="36"/>
          <w:szCs w:val="36"/>
        </w:rPr>
      </w:pPr>
      <w:r>
        <w:rPr>
          <w:rFonts w:ascii="仿宋" w:eastAsia="仿宋" w:hint="eastAsia"/>
          <w:sz w:val="32"/>
          <w:szCs w:val="32"/>
        </w:rPr>
        <w:t>本办法最终解释权归共青团中南财经政法大学委员会所有。</w:t>
      </w:r>
    </w:p>
    <w:p>
      <w:pPr>
        <w:spacing w:line="460" w:lineRule="exact"/>
        <w:ind w:firstLine="600"/>
        <w:jc w:val="right"/>
        <w:rPr>
          <w:rFonts w:ascii="仿宋_GB2312" w:hAnsi="仿宋_GB2312"/>
          <w:szCs w:val="30"/>
        </w:rPr>
      </w:pPr>
    </w:p>
    <w:p>
      <w:pPr>
        <w:spacing w:line="460" w:lineRule="exact"/>
        <w:ind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共青团中南财经政法大学委员会</w:t>
      </w:r>
    </w:p>
    <w:p>
      <w:pPr>
        <w:spacing w:line="460" w:lineRule="exact"/>
        <w:ind w:right="935" w:firstLine="640"/>
        <w:jc w:val="right"/>
        <w:rPr>
          <w:rFonts w:ascii="仿宋" w:eastAsia="仿宋"/>
          <w:sz w:val="32"/>
          <w:szCs w:val="32"/>
          <w:highlight w:val="yellow"/>
        </w:rPr>
      </w:pPr>
      <w:r>
        <w:rPr>
          <w:rFonts w:ascii="仿宋" w:eastAsia="仿宋" w:hint="eastAsia"/>
          <w:sz w:val="32"/>
          <w:szCs w:val="32"/>
        </w:rPr>
        <w:t>2</w:t>
      </w:r>
      <w:r>
        <w:rPr>
          <w:rFonts w:ascii="仿宋" w:eastAsia="仿宋"/>
          <w:sz w:val="32"/>
          <w:szCs w:val="32"/>
        </w:rPr>
        <w:t>02</w:t>
      </w:r>
      <w:r>
        <w:rPr>
          <w:rFonts w:ascii="仿宋" w:eastAsia="仿宋" w:hint="eastAsia"/>
          <w:sz w:val="32"/>
          <w:szCs w:val="32"/>
        </w:rPr>
        <w:t>5</w:t>
      </w:r>
      <w:r>
        <w:rPr>
          <w:rFonts w:ascii="仿宋" w:eastAsia="仿宋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</w:rPr>
        <w:t>3月</w:t>
      </w:r>
      <w:r>
        <w:rPr>
          <w:rFonts w:ascii="仿宋" w:eastAsia="仿宋"/>
          <w:sz w:val="32"/>
          <w:szCs w:val="32"/>
        </w:rPr>
        <w:t>21</w:t>
      </w:r>
      <w:r>
        <w:rPr>
          <w:rFonts w:ascii="仿宋" w:eastAsia="仿宋" w:hint="eastAsia"/>
          <w:sz w:val="32"/>
          <w:szCs w:val="32"/>
        </w:rPr>
        <w:t>日</w:t>
      </w: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1440" w:right="1800" w:bottom="1440" w:left="1800" w:header="851" w:footer="992" w:gutter="0"/>
      <w:pgNumType w:start="1"/>
      <w:docGrid w:type="lines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Droid Sans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Droid Sans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variable"/>
    <w:sig w:usb0="E0000AFF" w:usb1="00007843" w:usb2="00000001" w:usb3="00000000" w:csb0="400001BF" w:csb1="DFF70000"/>
  </w:font>
  <w:font w:name="微软雅黑">
    <w:altName w:val="Droid Sans"/>
    <w:panose1 w:val="020B0503020204020204"/>
    <w:charset w:val="86"/>
    <w:family w:val="swiss"/>
    <w:pitch w:val="variable"/>
    <w:sig w:usb0="00000000" w:usb1="0000000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  <w:ind w:firstLine="36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firstLine="360"/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11"/>
  <w:bordersDoNotSurroundHeader/>
  <w:bordersDoNotSurroundFooter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Arial" w:eastAsia="微软雅黑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00"/>
      <w:outlineLvl w:val="1"/>
    </w:pPr>
    <w:rPr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180"/>
      <w:outlineLvl w:val="2"/>
    </w:pPr>
    <w:rPr>
      <w:b/>
      <w:sz w:val="30"/>
    </w:rPr>
  </w:style>
  <w:style w:type="paragraph" w:styleId="4">
    <w:name w:val="heading 4"/>
    <w:basedOn w:val="0"/>
    <w:next w:val="0"/>
    <w:pPr>
      <w:keepNext/>
      <w:keepLines/>
      <w:widowControl w:val="0"/>
      <w:spacing w:before="240" w:after="160"/>
      <w:outlineLvl w:val="3"/>
    </w:pPr>
    <w:rPr>
      <w:b/>
      <w:sz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40" w:after="160"/>
      <w:outlineLvl w:val="4"/>
    </w:pPr>
    <w:rPr>
      <w:b/>
      <w:sz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120"/>
      <w:outlineLvl w:val="5"/>
    </w:pPr>
    <w:rPr>
      <w:b/>
      <w:sz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120"/>
      <w:outlineLvl w:val="6"/>
    </w:pPr>
    <w:rPr>
      <w:b/>
      <w:sz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180" w:after="64"/>
      <w:outlineLvl w:val="7"/>
    </w:pPr>
    <w:rPr>
      <w:sz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180" w:after="64"/>
      <w:outlineLvl w:val="8"/>
    </w:p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4</Pages>
  <Words>2116</Words>
  <Characters>2174</Characters>
  <Lines>101</Lines>
  <Paragraphs>35</Paragraphs>
  <CharactersWithSpaces>2184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ZZY</dc:creator>
  <cp:lastModifiedBy>vivo用户</cp:lastModifiedBy>
  <cp:revision>8</cp:revision>
  <dcterms:created xsi:type="dcterms:W3CDTF">2018-05-28T01:24:00Z</dcterms:created>
  <dcterms:modified xsi:type="dcterms:W3CDTF">2025-03-22T05:35:46Z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2052-6.8.2.8850</vt:lpwstr>
  </property>
  <property fmtid="{D5CDD505-2E9C-101B-9397-08002B2CF9AE}" pid="4" name="woTemplate" linkTarget="0">
    <vt:i4>0</vt:i4>
  </property>
  <property fmtid="{D5CDD505-2E9C-101B-9397-08002B2CF9AE}" pid="5" name="ICV">
    <vt:lpwstr>259F0991D63045539DDB60F70616D415_12</vt:lpwstr>
  </property>
  <property fmtid="{D5CDD505-2E9C-101B-9397-08002B2CF9AE}" pid="6" name="KSOTemplateDocerSaveRecord">
    <vt:lpwstr>eyJoZGlkIjoiMzEwNTM5NzYwMDRjMzkwZTVkZjY2ODkwMGIxNGU0OTUiLCJ1c2VySWQiOiIxNjI1MDUzMjMxIn0=</vt:lpwstr>
  </property>
</Properties>
</file>