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40CA8">
      <w:pPr>
        <w:widowControl w:val="0"/>
        <w:spacing w:before="156" w:beforeLines="50" w:after="156" w:afterLines="50" w:line="560" w:lineRule="exact"/>
        <w:ind w:firstLine="0" w:firstLineChars="0"/>
        <w:jc w:val="center"/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</w:rPr>
      </w:pP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  <w:lang w:val="en-US" w:eastAsia="zh-CN"/>
        </w:rPr>
        <w:t>工商管理学院</w:t>
      </w: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</w:rPr>
        <w:t>“优秀共青团干部”评选细则</w:t>
      </w:r>
    </w:p>
    <w:p w14:paraId="3B567CF2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“优秀共青团干部”申报对象为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工商管理学院2022级、2023级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团学组织学生骨干。</w:t>
      </w:r>
    </w:p>
    <w:p w14:paraId="000429AF">
      <w:pPr>
        <w:spacing w:before="78" w:beforeLines="25" w:after="78" w:afterLines="25" w:line="560" w:lineRule="exact"/>
        <w:ind w:firstLine="640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一、思想道德情况（25分）</w:t>
      </w:r>
    </w:p>
    <w:p w14:paraId="3ABFC2EA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1.深入学习党的二十届三中全会精神，全面贯彻习近平新时代中国特色社会主义思想，深刻领悟“两个确立”的决定性意义，增强“四个意识”、坚定“四个自信”、做到“两个维护”，认真落实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学院团委的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各项工作部署，积极践行社会主义核心价值观，有正确的世界观，人生观，价值观。（10分）</w:t>
      </w:r>
    </w:p>
    <w:p w14:paraId="69A56884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09A79208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3.集体主义观念较强，是非观念明确，作风民主。服从组织安排，注重团队协作，能从大局出发，以集体利益为重。（5分）</w:t>
      </w:r>
    </w:p>
    <w:p w14:paraId="7C99FCF7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4.积极参加党校、青年马克思主义者培训班、团学骨干培训班、团校等理论学习，不断地提高自身的思想政治水平，积极向党组织靠拢，勇于接受批评和自我批评，认识和改进自身不足，提高自身素质。（5分）</w:t>
      </w:r>
    </w:p>
    <w:p w14:paraId="3A8A9B8C">
      <w:pPr>
        <w:spacing w:before="78" w:beforeLines="25" w:after="78" w:afterLines="25" w:line="560" w:lineRule="exact"/>
        <w:ind w:firstLine="640"/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二、学习情况（20分）</w:t>
      </w:r>
    </w:p>
    <w:p w14:paraId="727E2199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1.尊敬师长，热爱本专业，认真学习专业知识，提高专业理论水平和实践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应用能力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，专业素养较高，视野开阔，具有创新思维，勇于、善于创造。（10分）</w:t>
      </w:r>
    </w:p>
    <w:p w14:paraId="6BDBDF51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6D1326A0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3.学习态度端正，成绩优良，无考试违纪情况，学分绩点3.1以上（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加权平均分80分以上），完成本学年规定学分且本学年单科成绩无不及格者。（5分）</w:t>
      </w:r>
    </w:p>
    <w:p w14:paraId="12BDC03D">
      <w:pPr>
        <w:spacing w:before="78" w:beforeLines="25" w:after="78" w:afterLines="25" w:line="560" w:lineRule="exact"/>
        <w:ind w:firstLine="640"/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三、工作情况（35分）</w:t>
      </w:r>
    </w:p>
    <w:p w14:paraId="14849E3C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1.工作态度端正、热情主动、认真务实，具有良好的工作作风。热爱本职工作，以身作则，甘于奉献，与时俱进，锐意创新，表现突出。（6分）</w:t>
      </w:r>
    </w:p>
    <w:p w14:paraId="3EB70E82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参加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团学骨干培训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，熟练掌握岗位业务知识，公文写作和组织管理能力较强。（6分）</w:t>
      </w:r>
    </w:p>
    <w:p w14:paraId="0FB4593C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3.能理论联系实际，曾多次组织开展形式新颖、内容丰富的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团学组织活动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，主动参与志愿服务及社会实践活动。（6分）</w:t>
      </w:r>
    </w:p>
    <w:p w14:paraId="14D01BA1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4.深入基层、狠抓落实，密切联系青年，竭诚服务青年，在本职岗位和学习生活中发挥模范带头作用。（6分）</w:t>
      </w:r>
    </w:p>
    <w:p w14:paraId="0EC0B83F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5.具有创新意识，善于进言献策，乐于思考与工作有关的问题，并提出有创造性的建议和意见。（6分）</w:t>
      </w:r>
    </w:p>
    <w:p w14:paraId="12690AAD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6.在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团学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组织任职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期间，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因工作优秀，学院团委、本人所属团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组织或本人曾荣获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级及以上荣誉称号。（5分）</w:t>
      </w:r>
    </w:p>
    <w:p w14:paraId="3D0B1C5D">
      <w:pPr>
        <w:spacing w:before="78" w:beforeLines="25" w:after="78" w:afterLines="25" w:line="560" w:lineRule="exact"/>
        <w:ind w:firstLine="640"/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四、生活作风（20分）</w:t>
      </w:r>
    </w:p>
    <w:p w14:paraId="4C912100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1.团结同学，热心帮助青年进步，善于与人交往，严于律己，宽以待人，并起到表率和骨干作用。（5分）</w:t>
      </w:r>
    </w:p>
    <w:p w14:paraId="42855992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2.乐观积极、自律自强、勤俭节约、吃苦耐劳，不奢侈浪费，个人综合素养高。（5分）</w:t>
      </w:r>
    </w:p>
    <w:p w14:paraId="72D30383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3.有良好的人际关系，与人友善，待人真诚，不拉帮结派，在同学中威信较高。（5分）</w:t>
      </w:r>
    </w:p>
    <w:p w14:paraId="4A6E4C11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4.有良好的卫生习惯，个人形象整洁大方，寝室卫生良好，自觉爱护校园环境，自觉履行保护环境的义务。（5分）</w:t>
      </w:r>
    </w:p>
    <w:p w14:paraId="2ED6FD5E">
      <w:pPr>
        <w:spacing w:before="78" w:beforeLines="25" w:after="78" w:afterLines="25" w:line="560" w:lineRule="exact"/>
        <w:ind w:firstLine="640"/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五、其他</w:t>
      </w:r>
    </w:p>
    <w:p w14:paraId="56A7C21F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此项为附加项，如有以下情况，可在原有100分满分基础上另行加分，作为附加分：</w:t>
      </w:r>
    </w:p>
    <w:p w14:paraId="1427889D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1.个人或个人主要负责的项目荣获过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级或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级以上荣誉。（国家级加10分，省部级加8分，市厅级加5分，校级加2分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院级加1分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）</w:t>
      </w:r>
    </w:p>
    <w:p w14:paraId="0605D0BC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2.个人先进事迹等曾在相关媒体上（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级及以上）报道。（国家级加10分，省部级加8分，市厅级加5分，校级加2分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院级加1分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）</w:t>
      </w:r>
    </w:p>
    <w:p w14:paraId="6AA0C980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3.在当年度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省级及以上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重大活动中有突出表现的，可加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分。</w:t>
      </w:r>
    </w:p>
    <w:p w14:paraId="542588CF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4.在科技创新领域、乡村振兴领域、绿色发展领域、社会服务领域、卫国戍边领域、经济建设领域、就业创业领域及其他领域有突出贡献的，可加</w:t>
      </w:r>
      <w:r>
        <w:rPr>
          <w:rFonts w:ascii="仿宋" w:hAnsi="仿宋" w:eastAsia="仿宋" w:cs="Tahoma"/>
          <w:color w:val="auto"/>
          <w:kern w:val="0"/>
          <w:sz w:val="32"/>
          <w:szCs w:val="32"/>
          <w:highlight w:val="none"/>
        </w:rPr>
        <w:t>5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分。</w:t>
      </w:r>
    </w:p>
    <w:p w14:paraId="09F1F699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5.无故缺席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团委组织的各级各类团学组织活动一次及以上的个人取消评选资格。</w:t>
      </w:r>
    </w:p>
    <w:p w14:paraId="20FC2D15">
      <w:pPr>
        <w:spacing w:before="78" w:beforeLines="25" w:after="78" w:afterLines="25" w:line="560" w:lineRule="exact"/>
        <w:ind w:firstLine="640"/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六、附则</w:t>
      </w:r>
    </w:p>
    <w:p w14:paraId="055A30AF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1.第（一）至第（四）项为必备条件，未达到条件者不得参评。</w:t>
      </w:r>
    </w:p>
    <w:p w14:paraId="700A69EF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2.参评团员上交申报材料需附个人成绩单，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学院团委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将对申报材料进行抽查。</w:t>
      </w:r>
    </w:p>
    <w:p w14:paraId="285851C6">
      <w:pPr>
        <w:widowControl w:val="0"/>
        <w:ind w:firstLine="640"/>
        <w:rPr>
          <w:rFonts w:ascii="仿宋" w:hAnsi="仿宋" w:eastAsia="仿宋" w:cs="Tahoma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以上</w:t>
      </w:r>
      <w:r>
        <w:rPr>
          <w:rFonts w:ascii="仿宋" w:hAnsi="仿宋" w:eastAsia="仿宋" w:cs="Tahoma"/>
          <w:color w:val="auto"/>
          <w:kern w:val="0"/>
          <w:sz w:val="32"/>
          <w:szCs w:val="32"/>
          <w:highlight w:val="none"/>
        </w:rPr>
        <w:t>办法的解释权归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共青团中南财经政法大学工商管理学院委员会</w:t>
      </w: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  <w:t>所有</w:t>
      </w:r>
      <w:r>
        <w:rPr>
          <w:rFonts w:ascii="仿宋" w:hAnsi="仿宋" w:eastAsia="仿宋" w:cs="Tahoma"/>
          <w:color w:val="auto"/>
          <w:kern w:val="0"/>
          <w:sz w:val="32"/>
          <w:szCs w:val="32"/>
          <w:highlight w:val="none"/>
        </w:rPr>
        <w:t>。</w:t>
      </w:r>
    </w:p>
    <w:p w14:paraId="6BD79D4B">
      <w:pPr>
        <w:widowControl w:val="0"/>
        <w:ind w:firstLine="5440" w:firstLineChars="170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</w:p>
    <w:p w14:paraId="5CDE4F0A">
      <w:pPr>
        <w:widowControl w:val="0"/>
        <w:ind w:firstLine="640"/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</w:rPr>
      </w:pPr>
    </w:p>
    <w:p w14:paraId="2415D779">
      <w:pPr>
        <w:widowControl w:val="0"/>
        <w:spacing w:line="560" w:lineRule="exact"/>
        <w:ind w:firstLine="1600" w:firstLineChars="500"/>
        <w:jc w:val="right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>共青团中南财经政法大学工商管理学院委员会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2025年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</w:t>
      </w:r>
    </w:p>
    <w:p w14:paraId="6A6D3A5A">
      <w:pPr>
        <w:widowControl w:val="0"/>
        <w:spacing w:line="560" w:lineRule="exact"/>
        <w:ind w:right="935" w:firstLine="640"/>
        <w:jc w:val="right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ahoma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</w:p>
    <w:p w14:paraId="7B6477D1">
      <w:pPr>
        <w:spacing w:line="560" w:lineRule="exact"/>
        <w:ind w:firstLine="640"/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br w:type="page"/>
      </w:r>
    </w:p>
    <w:p w14:paraId="5855870F">
      <w:pPr>
        <w:widowControl w:val="0"/>
        <w:spacing w:before="156" w:beforeLines="50" w:after="156" w:afterLines="50" w:line="560" w:lineRule="exact"/>
        <w:ind w:firstLine="0" w:firstLineChars="0"/>
        <w:jc w:val="center"/>
        <w:rPr>
          <w:rFonts w:hint="eastAsia" w:ascii="方正小标宋简体" w:hAnsi="仿宋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  <w:lang w:val="en-US" w:eastAsia="zh-CN"/>
        </w:rPr>
        <w:t>工商管理学院</w:t>
      </w:r>
      <w:r>
        <w:rPr>
          <w:rFonts w:hint="eastAsia" w:ascii="方正小标宋简体" w:hAnsi="仿宋" w:eastAsia="方正小标宋简体" w:cs="Times New Roman"/>
          <w:bCs/>
          <w:color w:val="auto"/>
          <w:sz w:val="40"/>
          <w:szCs w:val="40"/>
          <w:highlight w:val="none"/>
        </w:rPr>
        <w:t>“优秀共青团干部”</w:t>
      </w:r>
      <w:r>
        <w:rPr>
          <w:rFonts w:hint="eastAsia" w:ascii="方正小标宋简体" w:hAnsi="仿宋" w:eastAsia="方正小标宋简体" w:cs="Times New Roman"/>
          <w:color w:val="auto"/>
          <w:sz w:val="40"/>
          <w:szCs w:val="40"/>
          <w:highlight w:val="none"/>
          <w:lang w:val="en-US" w:eastAsia="zh-CN"/>
        </w:rPr>
        <w:t>工作纪实</w:t>
      </w:r>
      <w:r>
        <w:rPr>
          <w:rFonts w:hint="eastAsia" w:ascii="方正小标宋简体" w:hAnsi="仿宋" w:eastAsia="方正小标宋简体" w:cs="Times New Roman"/>
          <w:color w:val="auto"/>
          <w:sz w:val="40"/>
          <w:szCs w:val="40"/>
          <w:highlight w:val="none"/>
        </w:rPr>
        <w:t>表</w:t>
      </w:r>
    </w:p>
    <w:tbl>
      <w:tblPr>
        <w:tblStyle w:val="4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037"/>
        <w:gridCol w:w="1591"/>
        <w:gridCol w:w="1796"/>
        <w:gridCol w:w="1387"/>
        <w:gridCol w:w="1592"/>
      </w:tblGrid>
      <w:tr w14:paraId="1B20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2749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F761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389B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班级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94927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85BDF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59C6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1BE2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7CFAE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加权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平均成绩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714BD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357EC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DA99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5AA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3B29B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所属部门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9072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6148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现任职务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A257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CA3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2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62C86A8">
            <w:pPr>
              <w:widowControl w:val="0"/>
              <w:spacing w:line="560" w:lineRule="exact"/>
              <w:ind w:right="113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履行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主要职责</w:t>
            </w:r>
          </w:p>
        </w:tc>
        <w:tc>
          <w:tcPr>
            <w:tcW w:w="8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6A6A3">
            <w:pPr>
              <w:widowControl w:val="0"/>
              <w:spacing w:line="560" w:lineRule="exact"/>
              <w:ind w:firstLine="0" w:firstLineChars="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6E0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6F9BBD">
            <w:pPr>
              <w:widowControl w:val="0"/>
              <w:spacing w:line="560" w:lineRule="exact"/>
              <w:ind w:right="113"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主要工作内容</w:t>
            </w:r>
          </w:p>
        </w:tc>
        <w:tc>
          <w:tcPr>
            <w:tcW w:w="8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67582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7CC6B984">
            <w:pPr>
              <w:widowControl w:val="0"/>
              <w:spacing w:line="560" w:lineRule="exact"/>
              <w:ind w:firstLine="0" w:firstLineChars="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6EC7ED1E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3B6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2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BF349F">
            <w:pPr>
              <w:widowControl w:val="0"/>
              <w:spacing w:line="560" w:lineRule="exact"/>
              <w:ind w:right="113" w:firstLine="0" w:firstLineChars="0"/>
              <w:jc w:val="center"/>
              <w:rPr>
                <w:rFonts w:hint="default" w:ascii="仿宋" w:hAnsi="仿宋" w:eastAsia="仿宋" w:cs="Times New Roman"/>
                <w:color w:val="auto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对团学组织的贡献</w:t>
            </w:r>
          </w:p>
        </w:tc>
        <w:tc>
          <w:tcPr>
            <w:tcW w:w="8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5F21">
            <w:pPr>
              <w:spacing w:line="560" w:lineRule="exact"/>
              <w:ind w:firstLine="64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1B1D2D90">
            <w:pPr>
              <w:spacing w:line="560" w:lineRule="exact"/>
              <w:ind w:firstLine="0" w:firstLineChars="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75164DDF">
            <w:pPr>
              <w:spacing w:line="560" w:lineRule="exact"/>
              <w:ind w:firstLine="64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DE5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6DF1">
            <w:pPr>
              <w:widowControl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84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D94E2">
            <w:pPr>
              <w:widowControl w:val="0"/>
              <w:spacing w:line="560" w:lineRule="exact"/>
              <w:ind w:firstLine="0" w:firstLineChars="0"/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3BE3B8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jc w:val="right"/>
        <w:textAlignment w:val="auto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B31246-DBEE-446D-8414-8D7670D67E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069F957-2695-4AE6-8EE3-F58C26306B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7F0BD9-612B-4557-BBD8-46F5263CF60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869E9AC-1B12-459B-9B60-CEE3B802868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143A5390-9F79-4070-AA6A-AAEF46885C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F752">
    <w:pPr>
      <w:pStyle w:val="2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7BFA9">
    <w:pPr>
      <w:pStyle w:val="2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27C5">
    <w:pPr>
      <w:pStyle w:val="2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57D5A">
    <w:pPr>
      <w:ind w:firstLine="5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DCC4C">
    <w:pPr>
      <w:pStyle w:val="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2E20E">
    <w:pPr>
      <w:pStyle w:val="3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D5764"/>
    <w:rsid w:val="093D3223"/>
    <w:rsid w:val="096D3B08"/>
    <w:rsid w:val="0B725406"/>
    <w:rsid w:val="122A7D49"/>
    <w:rsid w:val="1C6C7C4F"/>
    <w:rsid w:val="1E246112"/>
    <w:rsid w:val="1FC61D6D"/>
    <w:rsid w:val="20B16C46"/>
    <w:rsid w:val="20ED23DE"/>
    <w:rsid w:val="22E76282"/>
    <w:rsid w:val="24AF4586"/>
    <w:rsid w:val="265921A7"/>
    <w:rsid w:val="284101E2"/>
    <w:rsid w:val="293D5764"/>
    <w:rsid w:val="2C6619FA"/>
    <w:rsid w:val="2D2105E2"/>
    <w:rsid w:val="30240B15"/>
    <w:rsid w:val="44901E7E"/>
    <w:rsid w:val="46D35DA0"/>
    <w:rsid w:val="4B4C2876"/>
    <w:rsid w:val="4E4A7541"/>
    <w:rsid w:val="4E6525CD"/>
    <w:rsid w:val="55C93441"/>
    <w:rsid w:val="59B166C6"/>
    <w:rsid w:val="5C7B2FBB"/>
    <w:rsid w:val="64F25DE5"/>
    <w:rsid w:val="66B94E0C"/>
    <w:rsid w:val="66F75934"/>
    <w:rsid w:val="6D68758C"/>
    <w:rsid w:val="73C771C0"/>
    <w:rsid w:val="74B60BDD"/>
    <w:rsid w:val="75905742"/>
    <w:rsid w:val="77D870BC"/>
    <w:rsid w:val="7EB42631"/>
    <w:rsid w:val="7F0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1610</Words>
  <Characters>1658</Characters>
  <Lines>0</Lines>
  <Paragraphs>0</Paragraphs>
  <TotalTime>2</TotalTime>
  <ScaleCrop>false</ScaleCrop>
  <LinksUpToDate>false</LinksUpToDate>
  <CharactersWithSpaces>1662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2025-04-13T12:38:00Z</dcterms:created>
  <dc:creator>Yt.</dc:creator>
  <cp:lastModifiedBy>THEGUYISNOT</cp:lastModifiedBy>
  <dcterms:modified xsi:type="dcterms:W3CDTF">2025-04-14T02:02:20Z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9BDB040CCCA940FDAF5C4F57DAC96248_13</vt:lpwstr>
  </property>
  <property fmtid="{D5CDD505-2E9C-101B-9397-08002B2CF9AE}" pid="4" name="KSOTemplateDocerSaveRecord">
    <vt:lpwstr>eyJoZGlkIjoiODVlMjY1NmVjZWYwYzRiYjc5YTRjN2I5M2VkYzJkMGMiLCJ1c2VySWQiOiI1ODgxNTc0NzcifQ==</vt:lpwstr>
  </property>
</Properties>
</file>