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782C" w14:textId="6B1C337E" w:rsidR="0040193B" w:rsidRDefault="00C56B12">
      <w:pPr>
        <w:keepNext/>
        <w:keepLines/>
        <w:spacing w:before="260" w:after="260" w:line="300" w:lineRule="auto"/>
        <w:jc w:val="center"/>
        <w:outlineLvl w:val="1"/>
        <w:rPr>
          <w:rFonts w:ascii="Times New Roman" w:eastAsia="宋体" w:hAnsi="Times New Roman" w:cs="宋体"/>
          <w:b/>
          <w:bCs/>
          <w:sz w:val="30"/>
          <w:szCs w:val="30"/>
        </w:rPr>
      </w:pPr>
      <w:bookmarkStart w:id="0" w:name="_Toc47727086"/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附件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4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：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202</w:t>
      </w:r>
      <w:r w:rsidR="00007D74">
        <w:rPr>
          <w:rFonts w:ascii="Times New Roman" w:eastAsia="宋体" w:hAnsi="Times New Roman" w:cs="宋体" w:hint="eastAsia"/>
          <w:b/>
          <w:bCs/>
          <w:sz w:val="30"/>
          <w:szCs w:val="30"/>
        </w:rPr>
        <w:t>2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年“在商言商”商务谈判比赛现场表现评分细则</w:t>
      </w:r>
      <w:bookmarkEnd w:id="0"/>
    </w:p>
    <w:tbl>
      <w:tblPr>
        <w:tblStyle w:val="1"/>
        <w:tblW w:w="8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5"/>
        <w:gridCol w:w="1020"/>
        <w:gridCol w:w="1020"/>
        <w:gridCol w:w="1020"/>
        <w:gridCol w:w="1020"/>
        <w:gridCol w:w="1020"/>
        <w:gridCol w:w="1355"/>
      </w:tblGrid>
      <w:tr w:rsidR="0040193B" w14:paraId="76E523C7" w14:textId="77777777">
        <w:trPr>
          <w:trHeight w:val="699"/>
        </w:trPr>
        <w:tc>
          <w:tcPr>
            <w:tcW w:w="2405" w:type="dxa"/>
            <w:shd w:val="clear" w:color="auto" w:fill="BDD6EE"/>
            <w:vAlign w:val="center"/>
          </w:tcPr>
          <w:p w14:paraId="529019B5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bookmarkStart w:id="1" w:name="_Hlk47364983"/>
            <w:r>
              <w:rPr>
                <w:rFonts w:ascii="仿宋" w:eastAsia="仿宋" w:hAnsi="仿宋" w:cs="黑体" w:hint="eastAsia"/>
                <w:b/>
                <w:bCs/>
                <w:sz w:val="30"/>
                <w:szCs w:val="30"/>
              </w:rPr>
              <w:t>项目</w:t>
            </w:r>
            <w:r>
              <w:rPr>
                <w:rFonts w:ascii="仿宋" w:eastAsia="仿宋" w:hAnsi="仿宋" w:cs="黑体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仿宋" w:eastAsia="仿宋" w:hAnsi="仿宋" w:cs="黑体" w:hint="eastAsia"/>
                <w:b/>
                <w:bCs/>
                <w:sz w:val="30"/>
                <w:szCs w:val="30"/>
              </w:rPr>
              <w:t>等级</w:t>
            </w:r>
          </w:p>
        </w:tc>
        <w:tc>
          <w:tcPr>
            <w:tcW w:w="1020" w:type="dxa"/>
            <w:shd w:val="clear" w:color="auto" w:fill="BDD6EE"/>
            <w:vAlign w:val="center"/>
          </w:tcPr>
          <w:p w14:paraId="7D3719E7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黑体"/>
                <w:b/>
                <w:bCs/>
                <w:sz w:val="30"/>
                <w:szCs w:val="30"/>
              </w:rPr>
              <w:t>差</w:t>
            </w:r>
          </w:p>
        </w:tc>
        <w:tc>
          <w:tcPr>
            <w:tcW w:w="1020" w:type="dxa"/>
            <w:shd w:val="clear" w:color="auto" w:fill="BDD6EE"/>
            <w:vAlign w:val="center"/>
          </w:tcPr>
          <w:p w14:paraId="45E9BB5D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黑体"/>
                <w:b/>
                <w:bCs/>
                <w:sz w:val="30"/>
                <w:szCs w:val="30"/>
              </w:rPr>
              <w:t>中差</w:t>
            </w:r>
          </w:p>
        </w:tc>
        <w:tc>
          <w:tcPr>
            <w:tcW w:w="1020" w:type="dxa"/>
            <w:shd w:val="clear" w:color="auto" w:fill="BDD6EE"/>
            <w:vAlign w:val="center"/>
          </w:tcPr>
          <w:p w14:paraId="32C5AFC9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黑体"/>
                <w:b/>
                <w:bCs/>
                <w:sz w:val="30"/>
                <w:szCs w:val="30"/>
              </w:rPr>
              <w:t>中等</w:t>
            </w:r>
          </w:p>
        </w:tc>
        <w:tc>
          <w:tcPr>
            <w:tcW w:w="1020" w:type="dxa"/>
            <w:shd w:val="clear" w:color="auto" w:fill="BDD6EE"/>
            <w:vAlign w:val="center"/>
          </w:tcPr>
          <w:p w14:paraId="64F5730E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黑体"/>
                <w:b/>
                <w:bCs/>
                <w:sz w:val="30"/>
                <w:szCs w:val="30"/>
              </w:rPr>
              <w:t>好</w:t>
            </w:r>
          </w:p>
        </w:tc>
        <w:tc>
          <w:tcPr>
            <w:tcW w:w="1020" w:type="dxa"/>
            <w:shd w:val="clear" w:color="auto" w:fill="BDD6EE"/>
            <w:vAlign w:val="center"/>
          </w:tcPr>
          <w:p w14:paraId="374BD367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黑体"/>
                <w:b/>
                <w:bCs/>
                <w:sz w:val="30"/>
                <w:szCs w:val="30"/>
              </w:rPr>
              <w:t>极好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2F9DECC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黑体"/>
                <w:b/>
                <w:bCs/>
                <w:sz w:val="30"/>
                <w:szCs w:val="30"/>
              </w:rPr>
              <w:t>得分</w:t>
            </w:r>
          </w:p>
        </w:tc>
      </w:tr>
      <w:tr w:rsidR="0040193B" w14:paraId="6EC9FAFD" w14:textId="77777777">
        <w:trPr>
          <w:trHeight w:val="567"/>
        </w:trPr>
        <w:tc>
          <w:tcPr>
            <w:tcW w:w="2405" w:type="dxa"/>
            <w:shd w:val="clear" w:color="auto" w:fill="DEEAF6"/>
            <w:vAlign w:val="center"/>
          </w:tcPr>
          <w:p w14:paraId="4F9A8A3E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洽谈气氛的创造</w:t>
            </w:r>
          </w:p>
        </w:tc>
        <w:tc>
          <w:tcPr>
            <w:tcW w:w="1020" w:type="dxa"/>
            <w:vAlign w:val="center"/>
          </w:tcPr>
          <w:p w14:paraId="76B65D96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0</w:t>
            </w:r>
          </w:p>
        </w:tc>
        <w:tc>
          <w:tcPr>
            <w:tcW w:w="1020" w:type="dxa"/>
            <w:vAlign w:val="center"/>
          </w:tcPr>
          <w:p w14:paraId="4D31475E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768BAEFF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67C56246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 w14:paraId="1A57F82A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4</w:t>
            </w:r>
          </w:p>
        </w:tc>
        <w:tc>
          <w:tcPr>
            <w:tcW w:w="1355" w:type="dxa"/>
            <w:vAlign w:val="center"/>
          </w:tcPr>
          <w:p w14:paraId="3BD829D7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4F25BBB4" w14:textId="77777777">
        <w:trPr>
          <w:trHeight w:val="567"/>
        </w:trPr>
        <w:tc>
          <w:tcPr>
            <w:tcW w:w="2405" w:type="dxa"/>
            <w:shd w:val="clear" w:color="auto" w:fill="DEEAF6"/>
            <w:vAlign w:val="center"/>
          </w:tcPr>
          <w:p w14:paraId="55AEAC9A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开场陈述</w:t>
            </w:r>
          </w:p>
        </w:tc>
        <w:tc>
          <w:tcPr>
            <w:tcW w:w="1020" w:type="dxa"/>
            <w:vAlign w:val="center"/>
          </w:tcPr>
          <w:p w14:paraId="292070FB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0</w:t>
            </w:r>
          </w:p>
        </w:tc>
        <w:tc>
          <w:tcPr>
            <w:tcW w:w="1020" w:type="dxa"/>
            <w:vAlign w:val="center"/>
          </w:tcPr>
          <w:p w14:paraId="5C9B0946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42BFB632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4FBD67FE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 w14:paraId="304B4E38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4</w:t>
            </w:r>
          </w:p>
        </w:tc>
        <w:tc>
          <w:tcPr>
            <w:tcW w:w="1355" w:type="dxa"/>
            <w:vAlign w:val="center"/>
          </w:tcPr>
          <w:p w14:paraId="5404971B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237E0113" w14:textId="77777777">
        <w:tc>
          <w:tcPr>
            <w:tcW w:w="2405" w:type="dxa"/>
            <w:shd w:val="clear" w:color="auto" w:fill="DEEAF6"/>
            <w:vAlign w:val="center"/>
          </w:tcPr>
          <w:p w14:paraId="759EBA82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谈判礼仪及谈判常用沟通</w:t>
            </w:r>
            <w:r>
              <w:rPr>
                <w:rFonts w:ascii="仿宋" w:eastAsia="仿宋" w:hAnsi="仿宋" w:cs="黑体"/>
                <w:sz w:val="24"/>
                <w:szCs w:val="21"/>
              </w:rPr>
              <w:t>技巧（含整个谈判过程）</w:t>
            </w:r>
          </w:p>
        </w:tc>
        <w:tc>
          <w:tcPr>
            <w:tcW w:w="1020" w:type="dxa"/>
            <w:vAlign w:val="center"/>
          </w:tcPr>
          <w:p w14:paraId="6566106D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3 4</w:t>
            </w:r>
          </w:p>
        </w:tc>
        <w:tc>
          <w:tcPr>
            <w:tcW w:w="1020" w:type="dxa"/>
            <w:vAlign w:val="center"/>
          </w:tcPr>
          <w:p w14:paraId="1791018A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5 6</w:t>
            </w:r>
          </w:p>
        </w:tc>
        <w:tc>
          <w:tcPr>
            <w:tcW w:w="1020" w:type="dxa"/>
            <w:vAlign w:val="center"/>
          </w:tcPr>
          <w:p w14:paraId="30F4B9BD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7 8</w:t>
            </w:r>
          </w:p>
        </w:tc>
        <w:tc>
          <w:tcPr>
            <w:tcW w:w="1020" w:type="dxa"/>
            <w:vAlign w:val="center"/>
          </w:tcPr>
          <w:p w14:paraId="378660C0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9 10</w:t>
            </w:r>
          </w:p>
        </w:tc>
        <w:tc>
          <w:tcPr>
            <w:tcW w:w="1020" w:type="dxa"/>
            <w:vAlign w:val="center"/>
          </w:tcPr>
          <w:p w14:paraId="393A7E77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11 12</w:t>
            </w:r>
          </w:p>
        </w:tc>
        <w:tc>
          <w:tcPr>
            <w:tcW w:w="1355" w:type="dxa"/>
            <w:vAlign w:val="center"/>
          </w:tcPr>
          <w:p w14:paraId="14127778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4363BDC1" w14:textId="77777777">
        <w:tc>
          <w:tcPr>
            <w:tcW w:w="2405" w:type="dxa"/>
            <w:shd w:val="clear" w:color="auto" w:fill="DEEAF6"/>
            <w:vAlign w:val="center"/>
          </w:tcPr>
          <w:p w14:paraId="33FBFE82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对谈判主题</w:t>
            </w:r>
            <w:r>
              <w:rPr>
                <w:rFonts w:ascii="仿宋" w:eastAsia="仿宋" w:hAnsi="仿宋" w:cs="黑体" w:hint="eastAsia"/>
                <w:sz w:val="24"/>
                <w:szCs w:val="21"/>
              </w:rPr>
              <w:t>/</w:t>
            </w:r>
            <w:r>
              <w:rPr>
                <w:rFonts w:ascii="仿宋" w:eastAsia="仿宋" w:hAnsi="仿宋" w:cs="黑体"/>
                <w:sz w:val="24"/>
                <w:szCs w:val="21"/>
              </w:rPr>
              <w:t>目的</w:t>
            </w:r>
            <w:r>
              <w:rPr>
                <w:rFonts w:ascii="仿宋" w:eastAsia="仿宋" w:hAnsi="仿宋" w:cs="黑体" w:hint="eastAsia"/>
                <w:sz w:val="24"/>
                <w:szCs w:val="21"/>
              </w:rPr>
              <w:t>、</w:t>
            </w:r>
            <w:r>
              <w:rPr>
                <w:rFonts w:ascii="仿宋" w:eastAsia="仿宋" w:hAnsi="仿宋" w:cs="黑体"/>
                <w:sz w:val="24"/>
                <w:szCs w:val="21"/>
              </w:rPr>
              <w:t>目标和程序的把控及技巧的运用</w:t>
            </w:r>
          </w:p>
        </w:tc>
        <w:tc>
          <w:tcPr>
            <w:tcW w:w="1020" w:type="dxa"/>
            <w:vAlign w:val="center"/>
          </w:tcPr>
          <w:p w14:paraId="655F9B70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1 2 3</w:t>
            </w:r>
          </w:p>
        </w:tc>
        <w:tc>
          <w:tcPr>
            <w:tcW w:w="1020" w:type="dxa"/>
            <w:vAlign w:val="center"/>
          </w:tcPr>
          <w:p w14:paraId="1FDB0C34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4 5 6</w:t>
            </w:r>
          </w:p>
        </w:tc>
        <w:tc>
          <w:tcPr>
            <w:tcW w:w="1020" w:type="dxa"/>
            <w:vAlign w:val="center"/>
          </w:tcPr>
          <w:p w14:paraId="316FEBAD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7 8 9</w:t>
            </w:r>
          </w:p>
        </w:tc>
        <w:tc>
          <w:tcPr>
            <w:tcW w:w="1020" w:type="dxa"/>
            <w:vAlign w:val="center"/>
          </w:tcPr>
          <w:p w14:paraId="2DB11BF3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10 11 12</w:t>
            </w:r>
          </w:p>
        </w:tc>
        <w:tc>
          <w:tcPr>
            <w:tcW w:w="1020" w:type="dxa"/>
            <w:vAlign w:val="center"/>
          </w:tcPr>
          <w:p w14:paraId="7E89F36B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13 14 15</w:t>
            </w:r>
          </w:p>
        </w:tc>
        <w:tc>
          <w:tcPr>
            <w:tcW w:w="1355" w:type="dxa"/>
            <w:vAlign w:val="center"/>
          </w:tcPr>
          <w:p w14:paraId="0D4C4E47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71C25036" w14:textId="77777777">
        <w:trPr>
          <w:trHeight w:val="567"/>
        </w:trPr>
        <w:tc>
          <w:tcPr>
            <w:tcW w:w="2405" w:type="dxa"/>
            <w:shd w:val="clear" w:color="auto" w:fill="DEEAF6"/>
            <w:vAlign w:val="center"/>
          </w:tcPr>
          <w:p w14:paraId="64736549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时间进度的把控</w:t>
            </w:r>
          </w:p>
        </w:tc>
        <w:tc>
          <w:tcPr>
            <w:tcW w:w="1020" w:type="dxa"/>
            <w:vAlign w:val="center"/>
          </w:tcPr>
          <w:p w14:paraId="3A0188FF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67F1728E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1.5</w:t>
            </w:r>
          </w:p>
        </w:tc>
        <w:tc>
          <w:tcPr>
            <w:tcW w:w="1020" w:type="dxa"/>
            <w:vAlign w:val="center"/>
          </w:tcPr>
          <w:p w14:paraId="34C49C36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75A9894C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2.5</w:t>
            </w:r>
          </w:p>
        </w:tc>
        <w:tc>
          <w:tcPr>
            <w:tcW w:w="1020" w:type="dxa"/>
            <w:vAlign w:val="center"/>
          </w:tcPr>
          <w:p w14:paraId="040525F8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3</w:t>
            </w:r>
          </w:p>
        </w:tc>
        <w:tc>
          <w:tcPr>
            <w:tcW w:w="1355" w:type="dxa"/>
            <w:vAlign w:val="center"/>
          </w:tcPr>
          <w:p w14:paraId="548E4A39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214FCE8C" w14:textId="77777777">
        <w:tc>
          <w:tcPr>
            <w:tcW w:w="2405" w:type="dxa"/>
            <w:shd w:val="clear" w:color="auto" w:fill="DEEAF6"/>
            <w:vAlign w:val="center"/>
          </w:tcPr>
          <w:p w14:paraId="468C09D9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双方关系地位的把控及相</w:t>
            </w:r>
            <w:r>
              <w:rPr>
                <w:rFonts w:ascii="仿宋" w:eastAsia="仿宋" w:hAnsi="仿宋" w:cs="黑体"/>
                <w:sz w:val="24"/>
                <w:szCs w:val="21"/>
              </w:rPr>
              <w:t>应的策略</w:t>
            </w:r>
          </w:p>
        </w:tc>
        <w:tc>
          <w:tcPr>
            <w:tcW w:w="1020" w:type="dxa"/>
            <w:vAlign w:val="center"/>
          </w:tcPr>
          <w:p w14:paraId="0562A8C5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34F1465D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1.5</w:t>
            </w:r>
          </w:p>
        </w:tc>
        <w:tc>
          <w:tcPr>
            <w:tcW w:w="1020" w:type="dxa"/>
            <w:vAlign w:val="center"/>
          </w:tcPr>
          <w:p w14:paraId="27252B7D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58021BBF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2.5</w:t>
            </w:r>
          </w:p>
        </w:tc>
        <w:tc>
          <w:tcPr>
            <w:tcW w:w="1020" w:type="dxa"/>
            <w:vAlign w:val="center"/>
          </w:tcPr>
          <w:p w14:paraId="63EF5736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3</w:t>
            </w:r>
          </w:p>
        </w:tc>
        <w:tc>
          <w:tcPr>
            <w:tcW w:w="1355" w:type="dxa"/>
            <w:vAlign w:val="center"/>
          </w:tcPr>
          <w:p w14:paraId="6FF190E0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3EF42EC7" w14:textId="77777777">
        <w:tc>
          <w:tcPr>
            <w:tcW w:w="2405" w:type="dxa"/>
            <w:shd w:val="clear" w:color="auto" w:fill="DEEAF6"/>
            <w:vAlign w:val="center"/>
          </w:tcPr>
          <w:p w14:paraId="0DB39D5D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抗拒及冲突性质的判断及</w:t>
            </w:r>
            <w:r>
              <w:rPr>
                <w:rFonts w:ascii="仿宋" w:eastAsia="仿宋" w:hAnsi="仿宋" w:cs="黑体"/>
                <w:sz w:val="24"/>
                <w:szCs w:val="21"/>
              </w:rPr>
              <w:t>应对技巧</w:t>
            </w:r>
          </w:p>
        </w:tc>
        <w:tc>
          <w:tcPr>
            <w:tcW w:w="1020" w:type="dxa"/>
            <w:vAlign w:val="center"/>
          </w:tcPr>
          <w:p w14:paraId="3EA8BDB8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0 1</w:t>
            </w:r>
          </w:p>
        </w:tc>
        <w:tc>
          <w:tcPr>
            <w:tcW w:w="1020" w:type="dxa"/>
            <w:vAlign w:val="center"/>
          </w:tcPr>
          <w:p w14:paraId="6A8319E0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2 3</w:t>
            </w:r>
          </w:p>
        </w:tc>
        <w:tc>
          <w:tcPr>
            <w:tcW w:w="1020" w:type="dxa"/>
            <w:vAlign w:val="center"/>
          </w:tcPr>
          <w:p w14:paraId="4284A501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4 5</w:t>
            </w:r>
          </w:p>
        </w:tc>
        <w:tc>
          <w:tcPr>
            <w:tcW w:w="1020" w:type="dxa"/>
            <w:vAlign w:val="center"/>
          </w:tcPr>
          <w:p w14:paraId="75BAF026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6 7</w:t>
            </w:r>
          </w:p>
        </w:tc>
        <w:tc>
          <w:tcPr>
            <w:tcW w:w="1020" w:type="dxa"/>
            <w:vAlign w:val="center"/>
          </w:tcPr>
          <w:p w14:paraId="1F9BEB60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8 9</w:t>
            </w:r>
          </w:p>
        </w:tc>
        <w:tc>
          <w:tcPr>
            <w:tcW w:w="1355" w:type="dxa"/>
            <w:vAlign w:val="center"/>
          </w:tcPr>
          <w:p w14:paraId="3BA1883C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0E5D596E" w14:textId="77777777">
        <w:tc>
          <w:tcPr>
            <w:tcW w:w="2405" w:type="dxa"/>
            <w:shd w:val="clear" w:color="auto" w:fill="DEEAF6"/>
          </w:tcPr>
          <w:p w14:paraId="38B35EFC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僵局的出现及对应技巧；</w:t>
            </w:r>
            <w:r>
              <w:rPr>
                <w:rFonts w:ascii="仿宋" w:eastAsia="仿宋" w:hAnsi="仿宋" w:cs="黑体"/>
                <w:sz w:val="24"/>
                <w:szCs w:val="21"/>
              </w:rPr>
              <w:t>打破僵局的措施及速度</w:t>
            </w:r>
          </w:p>
        </w:tc>
        <w:tc>
          <w:tcPr>
            <w:tcW w:w="1020" w:type="dxa"/>
          </w:tcPr>
          <w:p w14:paraId="544FC974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0 1</w:t>
            </w:r>
          </w:p>
        </w:tc>
        <w:tc>
          <w:tcPr>
            <w:tcW w:w="1020" w:type="dxa"/>
          </w:tcPr>
          <w:p w14:paraId="13F0542A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2 3</w:t>
            </w:r>
          </w:p>
        </w:tc>
        <w:tc>
          <w:tcPr>
            <w:tcW w:w="1020" w:type="dxa"/>
          </w:tcPr>
          <w:p w14:paraId="05D98DC0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4 5</w:t>
            </w:r>
          </w:p>
        </w:tc>
        <w:tc>
          <w:tcPr>
            <w:tcW w:w="1020" w:type="dxa"/>
          </w:tcPr>
          <w:p w14:paraId="061FC4F6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6 7</w:t>
            </w:r>
          </w:p>
        </w:tc>
        <w:tc>
          <w:tcPr>
            <w:tcW w:w="1020" w:type="dxa"/>
          </w:tcPr>
          <w:p w14:paraId="0BD3CC6A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8 9</w:t>
            </w:r>
          </w:p>
        </w:tc>
        <w:tc>
          <w:tcPr>
            <w:tcW w:w="1355" w:type="dxa"/>
          </w:tcPr>
          <w:p w14:paraId="5755B714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79DA2D0C" w14:textId="77777777">
        <w:trPr>
          <w:trHeight w:val="567"/>
        </w:trPr>
        <w:tc>
          <w:tcPr>
            <w:tcW w:w="2405" w:type="dxa"/>
            <w:shd w:val="clear" w:color="auto" w:fill="DEEAF6"/>
            <w:vAlign w:val="center"/>
          </w:tcPr>
          <w:p w14:paraId="2E3C784D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磋商中的让步及技巧</w:t>
            </w:r>
          </w:p>
        </w:tc>
        <w:tc>
          <w:tcPr>
            <w:tcW w:w="1020" w:type="dxa"/>
            <w:vAlign w:val="center"/>
          </w:tcPr>
          <w:p w14:paraId="60DFE34F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3 4</w:t>
            </w:r>
          </w:p>
        </w:tc>
        <w:tc>
          <w:tcPr>
            <w:tcW w:w="1020" w:type="dxa"/>
            <w:vAlign w:val="center"/>
          </w:tcPr>
          <w:p w14:paraId="08203687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5 6</w:t>
            </w:r>
          </w:p>
        </w:tc>
        <w:tc>
          <w:tcPr>
            <w:tcW w:w="1020" w:type="dxa"/>
            <w:vAlign w:val="center"/>
          </w:tcPr>
          <w:p w14:paraId="56D890F0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7 8</w:t>
            </w:r>
          </w:p>
        </w:tc>
        <w:tc>
          <w:tcPr>
            <w:tcW w:w="1020" w:type="dxa"/>
            <w:vAlign w:val="center"/>
          </w:tcPr>
          <w:p w14:paraId="4D3D345C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9 10</w:t>
            </w:r>
          </w:p>
        </w:tc>
        <w:tc>
          <w:tcPr>
            <w:tcW w:w="1020" w:type="dxa"/>
            <w:vAlign w:val="center"/>
          </w:tcPr>
          <w:p w14:paraId="400E79D9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11 12</w:t>
            </w:r>
          </w:p>
        </w:tc>
        <w:tc>
          <w:tcPr>
            <w:tcW w:w="1355" w:type="dxa"/>
            <w:vAlign w:val="center"/>
          </w:tcPr>
          <w:p w14:paraId="06655E2A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33F5C23E" w14:textId="77777777">
        <w:tc>
          <w:tcPr>
            <w:tcW w:w="2405" w:type="dxa"/>
            <w:shd w:val="clear" w:color="auto" w:fill="DEEAF6"/>
          </w:tcPr>
          <w:p w14:paraId="41FF239D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谈判团队成员的合作及成</w:t>
            </w:r>
            <w:r>
              <w:rPr>
                <w:rFonts w:ascii="仿宋" w:eastAsia="仿宋" w:hAnsi="仿宋" w:cs="黑体"/>
                <w:sz w:val="24"/>
                <w:szCs w:val="21"/>
              </w:rPr>
              <w:t>员素质能力对谈判成败的贡献</w:t>
            </w:r>
          </w:p>
        </w:tc>
        <w:tc>
          <w:tcPr>
            <w:tcW w:w="1020" w:type="dxa"/>
          </w:tcPr>
          <w:p w14:paraId="74061A6B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0 1</w:t>
            </w:r>
          </w:p>
        </w:tc>
        <w:tc>
          <w:tcPr>
            <w:tcW w:w="1020" w:type="dxa"/>
          </w:tcPr>
          <w:p w14:paraId="293079A7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2 3</w:t>
            </w:r>
          </w:p>
        </w:tc>
        <w:tc>
          <w:tcPr>
            <w:tcW w:w="1020" w:type="dxa"/>
          </w:tcPr>
          <w:p w14:paraId="43B7BC08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4 5</w:t>
            </w:r>
          </w:p>
        </w:tc>
        <w:tc>
          <w:tcPr>
            <w:tcW w:w="1020" w:type="dxa"/>
          </w:tcPr>
          <w:p w14:paraId="7AB559DE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6 7</w:t>
            </w:r>
          </w:p>
        </w:tc>
        <w:tc>
          <w:tcPr>
            <w:tcW w:w="1020" w:type="dxa"/>
          </w:tcPr>
          <w:p w14:paraId="1A45871F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8 9</w:t>
            </w:r>
          </w:p>
        </w:tc>
        <w:tc>
          <w:tcPr>
            <w:tcW w:w="1355" w:type="dxa"/>
          </w:tcPr>
          <w:p w14:paraId="785D7245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502CBA01" w14:textId="77777777">
        <w:trPr>
          <w:trHeight w:val="567"/>
        </w:trPr>
        <w:tc>
          <w:tcPr>
            <w:tcW w:w="2405" w:type="dxa"/>
            <w:shd w:val="clear" w:color="auto" w:fill="DEEAF6"/>
            <w:vAlign w:val="center"/>
          </w:tcPr>
          <w:p w14:paraId="7629A40E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结束谈判的时机、方式</w:t>
            </w:r>
          </w:p>
        </w:tc>
        <w:tc>
          <w:tcPr>
            <w:tcW w:w="1020" w:type="dxa"/>
            <w:vAlign w:val="center"/>
          </w:tcPr>
          <w:p w14:paraId="36879DA1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0BB6FCBD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 w14:paraId="060A8A92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 w14:paraId="5D72C772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5</w:t>
            </w:r>
          </w:p>
        </w:tc>
        <w:tc>
          <w:tcPr>
            <w:tcW w:w="1020" w:type="dxa"/>
            <w:vAlign w:val="center"/>
          </w:tcPr>
          <w:p w14:paraId="175A5A66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6</w:t>
            </w:r>
          </w:p>
        </w:tc>
        <w:tc>
          <w:tcPr>
            <w:tcW w:w="1355" w:type="dxa"/>
            <w:vAlign w:val="center"/>
          </w:tcPr>
          <w:p w14:paraId="004AC9CF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242527CA" w14:textId="77777777">
        <w:trPr>
          <w:trHeight w:val="567"/>
        </w:trPr>
        <w:tc>
          <w:tcPr>
            <w:tcW w:w="2405" w:type="dxa"/>
            <w:shd w:val="clear" w:color="auto" w:fill="DEEAF6"/>
            <w:vAlign w:val="center"/>
          </w:tcPr>
          <w:p w14:paraId="5EE88DDB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  <w:szCs w:val="21"/>
              </w:rPr>
              <w:t>取得的谈判结果</w:t>
            </w:r>
          </w:p>
        </w:tc>
        <w:tc>
          <w:tcPr>
            <w:tcW w:w="1020" w:type="dxa"/>
            <w:vAlign w:val="center"/>
          </w:tcPr>
          <w:p w14:paraId="1A96FC74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0 1 2</w:t>
            </w:r>
          </w:p>
        </w:tc>
        <w:tc>
          <w:tcPr>
            <w:tcW w:w="1020" w:type="dxa"/>
            <w:vAlign w:val="center"/>
          </w:tcPr>
          <w:p w14:paraId="2D5FA537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3 4 5</w:t>
            </w:r>
          </w:p>
        </w:tc>
        <w:tc>
          <w:tcPr>
            <w:tcW w:w="1020" w:type="dxa"/>
            <w:vAlign w:val="center"/>
          </w:tcPr>
          <w:p w14:paraId="4951F5DD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6 7 8</w:t>
            </w:r>
          </w:p>
        </w:tc>
        <w:tc>
          <w:tcPr>
            <w:tcW w:w="1020" w:type="dxa"/>
            <w:vAlign w:val="center"/>
          </w:tcPr>
          <w:p w14:paraId="6851F2AE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9 10 11</w:t>
            </w:r>
          </w:p>
        </w:tc>
        <w:tc>
          <w:tcPr>
            <w:tcW w:w="1020" w:type="dxa"/>
            <w:vAlign w:val="center"/>
          </w:tcPr>
          <w:p w14:paraId="2AD7DD6C" w14:textId="77777777" w:rsidR="0040193B" w:rsidRDefault="00C56B12">
            <w:pPr>
              <w:spacing w:line="300" w:lineRule="auto"/>
              <w:jc w:val="center"/>
              <w:rPr>
                <w:rFonts w:ascii="宋体" w:eastAsia="宋体" w:hAnsi="宋体" w:cs="黑体"/>
                <w:sz w:val="24"/>
                <w:szCs w:val="21"/>
              </w:rPr>
            </w:pPr>
            <w:r>
              <w:rPr>
                <w:rFonts w:ascii="宋体" w:eastAsia="宋体" w:hAnsi="宋体" w:cs="黑体"/>
                <w:sz w:val="24"/>
                <w:szCs w:val="21"/>
              </w:rPr>
              <w:t>12 13 14</w:t>
            </w:r>
          </w:p>
        </w:tc>
        <w:tc>
          <w:tcPr>
            <w:tcW w:w="1355" w:type="dxa"/>
            <w:vAlign w:val="center"/>
          </w:tcPr>
          <w:p w14:paraId="36563467" w14:textId="77777777" w:rsidR="0040193B" w:rsidRDefault="0040193B">
            <w:pPr>
              <w:spacing w:line="300" w:lineRule="auto"/>
              <w:jc w:val="center"/>
              <w:rPr>
                <w:rFonts w:ascii="宋体" w:eastAsia="宋体" w:hAnsi="宋体" w:cs="黑体"/>
                <w:sz w:val="20"/>
                <w:szCs w:val="20"/>
              </w:rPr>
            </w:pPr>
          </w:p>
        </w:tc>
      </w:tr>
      <w:tr w:rsidR="0040193B" w14:paraId="0AE5CF17" w14:textId="77777777">
        <w:trPr>
          <w:trHeight w:val="680"/>
        </w:trPr>
        <w:tc>
          <w:tcPr>
            <w:tcW w:w="8860" w:type="dxa"/>
            <w:gridSpan w:val="7"/>
            <w:vAlign w:val="center"/>
          </w:tcPr>
          <w:p w14:paraId="40743817" w14:textId="77777777" w:rsidR="0040193B" w:rsidRDefault="00C56B12">
            <w:pPr>
              <w:spacing w:line="300" w:lineRule="auto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该项成绩占初赛及决赛加权排名成绩</w:t>
            </w:r>
            <w:r>
              <w:rPr>
                <w:rFonts w:ascii="仿宋" w:eastAsia="仿宋" w:hAnsi="仿宋" w:cs="黑体"/>
                <w:b/>
                <w:bCs/>
                <w:sz w:val="28"/>
                <w:szCs w:val="28"/>
              </w:rPr>
              <w:t xml:space="preserve"> 70%</w:t>
            </w:r>
          </w:p>
          <w:p w14:paraId="45989DAD" w14:textId="77777777" w:rsidR="0040193B" w:rsidRDefault="00C56B12">
            <w:pPr>
              <w:spacing w:line="300" w:lineRule="auto"/>
              <w:jc w:val="center"/>
              <w:rPr>
                <w:rFonts w:ascii="楷体" w:eastAsia="楷体" w:hAnsi="楷体" w:cs="黑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该项成绩满分分值为</w:t>
            </w: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100</w:t>
            </w:r>
          </w:p>
        </w:tc>
      </w:tr>
      <w:bookmarkEnd w:id="1"/>
    </w:tbl>
    <w:p w14:paraId="2D4665A5" w14:textId="77777777" w:rsidR="0040193B" w:rsidRDefault="0040193B"/>
    <w:sectPr w:rsidR="0040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753E" w14:textId="77777777" w:rsidR="00C56B12" w:rsidRDefault="00C56B12" w:rsidP="00007D74">
      <w:r>
        <w:separator/>
      </w:r>
    </w:p>
  </w:endnote>
  <w:endnote w:type="continuationSeparator" w:id="0">
    <w:p w14:paraId="5C03DDE9" w14:textId="77777777" w:rsidR="00C56B12" w:rsidRDefault="00C56B12" w:rsidP="0000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E128" w14:textId="77777777" w:rsidR="00C56B12" w:rsidRDefault="00C56B12" w:rsidP="00007D74">
      <w:r>
        <w:separator/>
      </w:r>
    </w:p>
  </w:footnote>
  <w:footnote w:type="continuationSeparator" w:id="0">
    <w:p w14:paraId="127F77D6" w14:textId="77777777" w:rsidR="00C56B12" w:rsidRDefault="00C56B12" w:rsidP="0000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3B"/>
    <w:rsid w:val="00007D74"/>
    <w:rsid w:val="0040193B"/>
    <w:rsid w:val="00C5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8939F"/>
  <w15:docId w15:val="{E7B932BC-DA84-498C-9B98-6C210EBC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念稚</dc:creator>
  <cp:lastModifiedBy>Yanling Chen</cp:lastModifiedBy>
  <cp:revision>3</cp:revision>
  <dcterms:created xsi:type="dcterms:W3CDTF">2020-08-08T22:58:00Z</dcterms:created>
  <dcterms:modified xsi:type="dcterms:W3CDTF">2022-03-02T08:54:00Z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