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工商管理学院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年暑期社会实践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经费说明</w:t>
      </w:r>
    </w:p>
    <w:tbl>
      <w:tblPr>
        <w:tblStyle w:val="3"/>
        <w:tblW w:w="8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99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实践类别</w:t>
            </w:r>
          </w:p>
        </w:tc>
        <w:tc>
          <w:tcPr>
            <w:tcW w:w="1990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项目实施</w:t>
            </w:r>
          </w:p>
        </w:tc>
        <w:tc>
          <w:tcPr>
            <w:tcW w:w="4200" w:type="dxa"/>
            <w:tcBorders>
              <w:left w:val="nil"/>
              <w:bottom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经费资助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vMerge w:val="restart"/>
            <w:tcBorders>
              <w:top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学术调研类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重点项目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vMerge w:val="continue"/>
            <w:tcBorders>
              <w:top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一般项目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实践活动类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青年红色筑梦之旅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vMerge w:val="continue"/>
            <w:tcBorders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公司调研与创建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1000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43" w:type="dxa"/>
            <w:vMerge w:val="continue"/>
            <w:tcBorders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校友寻访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1.此项经费拟提供给获得本年度暑期社会实践</w:t>
      </w:r>
      <w:r>
        <w:rPr>
          <w:rFonts w:hint="eastAsia" w:ascii="宋体" w:hAnsi="宋体" w:eastAsia="宋体" w:cs="宋体"/>
          <w:b/>
          <w:bCs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校级立项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的社会实践团队；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2.此项经费将于实践项目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合格结项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后，由工商管理学院分团委提供，与校级立项经费不无关；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3.校友寻访项目：若校友寻访项目的寻访校友为工商管理学院校友，且结项成果优秀，并形成了具有影响力的宣传作品，学院分团委将根据实际情况对该校友寻访项目追加500-1000元的配套奖励；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4.对于经费及奖励的解释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权归工商管理学院分团委所有。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2D374B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</w:rPr>
        <w:t>工商管理学院分团委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2D374B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</w:rPr>
        <w:t>二〇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</w:rPr>
        <w:t>〇年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</w:rPr>
        <w:t>月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22639"/>
    <w:rsid w:val="01C22639"/>
    <w:rsid w:val="146B0262"/>
    <w:rsid w:val="7E2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2020-07-06T11:02:00Z</dcterms:created>
  <dc:creator>对方正在输入...</dc:creator>
  <cp:lastModifiedBy>In the balance .</cp:lastModifiedBy>
  <dcterms:modified xsi:type="dcterms:W3CDTF">2020-07-06T12:48:51Z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