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2"/>
        <w:keepNext w:val="false"/>
        <w:keepLines w:val="false"/>
        <w:spacing w:before="156" w:beforeLines="50" w:after="156" w:afterLines="50" w:lineRule="auto" w:line="360"/>
        <w:jc w:val="center"/>
        <w:rPr>
          <w:rFonts w:ascii="黑体" w:cs="宋体" w:eastAsia="黑体" w:hAnsi="黑体"/>
          <w:sz w:val="30"/>
          <w:szCs w:val="30"/>
        </w:rPr>
      </w:pPr>
      <w:r>
        <w:rPr>
          <w:rFonts w:ascii="黑体" w:cs="宋体" w:eastAsia="黑体" w:hAnsi="黑体" w:hint="eastAsia"/>
          <w:sz w:val="30"/>
          <w:szCs w:val="30"/>
        </w:rPr>
        <w:t>工商管理学院本科生奖学金评选补充规定</w:t>
      </w:r>
    </w:p>
    <w:p>
      <w:pPr>
        <w:pStyle w:val="style0"/>
        <w:shd w:val="clear" w:color="auto" w:fill="ffffff"/>
        <w:spacing w:lineRule="auto" w:line="360"/>
        <w:ind w:firstLine="480" w:firstLineChars="200"/>
        <w:jc w:val="left"/>
        <w:textAlignment w:val="baseline"/>
        <w:rPr>
          <w:rFonts w:ascii="等线" w:eastAsia="等线" w:hAnsi="等线"/>
          <w:sz w:val="24"/>
          <w:szCs w:val="24"/>
        </w:rPr>
      </w:pPr>
      <w:r>
        <w:rPr>
          <w:rFonts w:ascii="等线" w:eastAsia="等线" w:hAnsi="等线" w:hint="eastAsia"/>
          <w:sz w:val="24"/>
          <w:szCs w:val="24"/>
        </w:rPr>
        <w:t>为促进学生全面发展，鼓励学生刻苦学习、奋发向上，规范本科生奖学金评选工作，根据《中南财经政法大学本科学生奖学金评选办法（中南大学字〔2017〕20号）》相关规定，结合我院实际情况，特制定本规定。</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hint="eastAsia"/>
          <w:kern w:val="21"/>
          <w:sz w:val="24"/>
          <w:szCs w:val="24"/>
        </w:rPr>
        <w:t>一、组织领导</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hint="eastAsia"/>
          <w:kern w:val="21"/>
          <w:sz w:val="24"/>
          <w:szCs w:val="24"/>
        </w:rPr>
        <w:t>1、学院设有奖学金评议领导小组，成员包括院党委副书记和全体本科生专兼职辅导员。</w:t>
      </w:r>
    </w:p>
    <w:p>
      <w:pPr>
        <w:pStyle w:val="style0"/>
        <w:spacing w:lineRule="auto" w:line="360"/>
        <w:ind w:firstLine="480" w:firstLineChars="200"/>
        <w:rPr>
          <w:rFonts w:ascii="等线" w:cs="等线" w:eastAsia="等线" w:hAnsi="等线"/>
          <w:sz w:val="24"/>
          <w:szCs w:val="24"/>
        </w:rPr>
      </w:pPr>
      <w:r>
        <w:rPr>
          <w:rFonts w:ascii="等线" w:cs="等线" w:eastAsia="等线" w:hAnsi="等线" w:hint="eastAsia"/>
          <w:kern w:val="21"/>
          <w:sz w:val="24"/>
          <w:szCs w:val="24"/>
        </w:rPr>
        <w:t>2、</w:t>
      </w:r>
      <w:r>
        <w:rPr>
          <w:rFonts w:ascii="等线" w:cs="等线" w:eastAsia="等线" w:hAnsi="等线" w:hint="eastAsia"/>
          <w:sz w:val="24"/>
          <w:szCs w:val="24"/>
        </w:rPr>
        <w:t>各班成立奖学金评议小组，成员由辅导员、班委、党员代表、学生代表组成。</w:t>
      </w:r>
    </w:p>
    <w:p>
      <w:pPr>
        <w:pStyle w:val="style0"/>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二、评选条件</w:t>
      </w:r>
    </w:p>
    <w:p>
      <w:pPr>
        <w:pStyle w:val="style0"/>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（一）参评资格</w:t>
      </w:r>
    </w:p>
    <w:p>
      <w:pPr>
        <w:pStyle w:val="style0"/>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kern w:val="21"/>
          <w:sz w:val="24"/>
          <w:szCs w:val="24"/>
        </w:rPr>
        <w:t>评奖年度内有以下情形之一者，取消</w:t>
      </w:r>
      <w:r>
        <w:rPr>
          <w:rFonts w:ascii="等线" w:cs="等线" w:eastAsia="等线" w:hAnsi="等线" w:hint="eastAsia"/>
          <w:sz w:val="24"/>
          <w:szCs w:val="24"/>
        </w:rPr>
        <w:t>当年（学年度）评比资格：</w:t>
      </w:r>
    </w:p>
    <w:p>
      <w:pPr>
        <w:pStyle w:val="style0"/>
        <w:numPr>
          <w:ilvl w:val="0"/>
          <w:numId w:val="1"/>
        </w:numPr>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因违反校纪校规受到纪律处分未获解除；</w:t>
      </w:r>
    </w:p>
    <w:p>
      <w:pPr>
        <w:pStyle w:val="style0"/>
        <w:numPr>
          <w:ilvl w:val="0"/>
          <w:numId w:val="1"/>
        </w:numPr>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有不良诚信记录（如在各级各类考试中舞弊）；</w:t>
      </w:r>
    </w:p>
    <w:p>
      <w:pPr>
        <w:pStyle w:val="style0"/>
        <w:numPr>
          <w:ilvl w:val="0"/>
          <w:numId w:val="1"/>
        </w:numPr>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上学年大学生体质健康测试成绩不及格；</w:t>
      </w:r>
    </w:p>
    <w:p>
      <w:pPr>
        <w:pStyle w:val="style0"/>
        <w:numPr>
          <w:ilvl w:val="0"/>
          <w:numId w:val="1"/>
        </w:numPr>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学籍异动未满一年（休学或保留学籍）；</w:t>
      </w:r>
    </w:p>
    <w:p>
      <w:pPr>
        <w:pStyle w:val="style0"/>
        <w:shd w:val="clear" w:color="auto" w:fill="ffffff"/>
        <w:spacing w:lineRule="auto" w:line="360"/>
        <w:ind w:left="420" w:leftChars="200"/>
        <w:textAlignment w:val="baseline"/>
        <w:rPr>
          <w:rFonts w:ascii="等线" w:cs="等线" w:eastAsia="等线" w:hAnsi="等线"/>
          <w:sz w:val="24"/>
          <w:szCs w:val="24"/>
        </w:rPr>
      </w:pPr>
      <w:r>
        <w:rPr>
          <w:rFonts w:ascii="等线" w:cs="等线" w:eastAsia="等线" w:hAnsi="等线" w:hint="eastAsia"/>
          <w:sz w:val="24"/>
          <w:szCs w:val="24"/>
        </w:rPr>
        <w:t>5、其他评议小组认定不符合评奖资格的情形。</w:t>
      </w:r>
    </w:p>
    <w:p>
      <w:pPr>
        <w:pStyle w:val="style0"/>
        <w:shd w:val="clear" w:color="auto" w:fill="ffffff"/>
        <w:spacing w:lineRule="auto" w:line="360"/>
        <w:ind w:firstLine="480" w:firstLineChars="200"/>
        <w:textAlignment w:val="baseline"/>
        <w:rPr>
          <w:rFonts w:ascii="等线" w:cs="等线" w:eastAsia="等线" w:hAnsi="等线"/>
          <w:sz w:val="24"/>
          <w:szCs w:val="24"/>
        </w:rPr>
      </w:pPr>
      <w:r>
        <w:rPr>
          <w:rFonts w:ascii="等线" w:cs="等线" w:eastAsia="等线" w:hAnsi="等线" w:hint="eastAsia"/>
          <w:sz w:val="24"/>
          <w:szCs w:val="24"/>
        </w:rPr>
        <w:t>（二）基本素质评价</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hint="eastAsia"/>
          <w:kern w:val="21"/>
          <w:sz w:val="24"/>
          <w:szCs w:val="24"/>
        </w:rPr>
        <w:t>1、日常管理记录包括辅导员或班委查课堂记录，节假日前后离返校记录，班会、党团日活动等集体活动出勤记录等。</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hint="eastAsia"/>
          <w:kern w:val="21"/>
          <w:sz w:val="24"/>
          <w:szCs w:val="24"/>
        </w:rPr>
        <w:t>2、“道德品质修养（A2）”中所列“不负责任、不讲诚信”的情形包括但不限于在各级各类评选、申报材料、课程论文及学术成果等弄虚作假的情况。</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hint="eastAsia"/>
          <w:kern w:val="21"/>
          <w:sz w:val="24"/>
          <w:szCs w:val="24"/>
        </w:rPr>
        <w:t>3、“组织纪律观念（A3）”增加“旷课，减3分/次”，“迟到，减2分/次”。</w:t>
      </w:r>
    </w:p>
    <w:p>
      <w:pPr>
        <w:pStyle w:val="style0"/>
        <w:spacing w:lineRule="auto" w:line="360"/>
        <w:ind w:firstLine="480" w:firstLineChars="200"/>
        <w:jc w:val="left"/>
        <w:rPr>
          <w:rFonts w:ascii="等线" w:cs="等线" w:eastAsia="等线" w:hAnsi="等线"/>
          <w:sz w:val="24"/>
          <w:szCs w:val="24"/>
        </w:rPr>
      </w:pPr>
      <w:r>
        <w:rPr>
          <w:rFonts w:ascii="等线" w:cs="等线" w:eastAsia="等线" w:hAnsi="等线" w:hint="eastAsia"/>
          <w:sz w:val="24"/>
          <w:szCs w:val="24"/>
        </w:rPr>
        <w:t>（</w:t>
      </w:r>
      <w:r>
        <w:rPr>
          <w:rFonts w:ascii="等线" w:cs="等线" w:eastAsia="等线" w:hAnsi="等线" w:hint="eastAsia"/>
          <w:kern w:val="21"/>
          <w:sz w:val="24"/>
          <w:szCs w:val="24"/>
        </w:rPr>
        <w:t>三</w:t>
      </w:r>
      <w:r>
        <w:rPr>
          <w:rFonts w:ascii="等线" w:cs="等线" w:eastAsia="等线" w:hAnsi="等线" w:hint="eastAsia"/>
          <w:sz w:val="24"/>
          <w:szCs w:val="24"/>
        </w:rPr>
        <w:t>）能力评价</w:t>
      </w:r>
    </w:p>
    <w:p>
      <w:pPr>
        <w:pStyle w:val="style0"/>
        <w:spacing w:lineRule="auto" w:line="360"/>
        <w:ind w:firstLine="480" w:firstLineChars="200"/>
        <w:jc w:val="left"/>
        <w:rPr>
          <w:rFonts w:ascii="等线" w:cs="等线" w:eastAsia="等线" w:hAnsi="等线"/>
          <w:color w:val="ff0000"/>
          <w:sz w:val="24"/>
          <w:szCs w:val="24"/>
        </w:rPr>
      </w:pPr>
      <w:r>
        <w:rPr>
          <w:rFonts w:ascii="等线" w:cs="等线" w:eastAsia="等线" w:hAnsi="等线" w:hint="eastAsia"/>
          <w:color w:val="ff0000"/>
          <w:kern w:val="21"/>
          <w:sz w:val="24"/>
          <w:szCs w:val="24"/>
        </w:rPr>
        <w:t>1、院级加分项补充</w:t>
      </w:r>
      <w:r>
        <w:rPr>
          <w:rFonts w:ascii="等线" w:cs="等线" w:eastAsia="等线" w:hAnsi="等线" w:hint="eastAsia"/>
          <w:color w:val="ff0000"/>
          <w:sz w:val="24"/>
          <w:szCs w:val="24"/>
        </w:rPr>
        <w:t>如下：</w:t>
      </w:r>
    </w:p>
    <w:tbl>
      <w:tblPr>
        <w:tblW w:w="7938" w:type="dxa"/>
        <w:tblInd w:w="-5" w:type="dxa"/>
        <w:tblLayout w:type="fixed"/>
        <w:tblLook w:val="04A0" w:firstRow="1" w:lastRow="0" w:firstColumn="1" w:lastColumn="0" w:noHBand="0" w:noVBand="1"/>
      </w:tblPr>
      <w:tblGrid>
        <w:gridCol w:w="1418"/>
        <w:gridCol w:w="4394"/>
        <w:gridCol w:w="2126"/>
      </w:tblGrid>
      <w:tr>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学术论文</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期刊名称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工商学苑</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学术竞赛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“工商学苑杯”经济管理学论坛论文评比</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工商管理学院“十大科研之星”评比</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技能竞赛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工商管理学院“在商言商”班级辩论赛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工商管理学院案例分析大赛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“职场有约”之全“职”高手商业企划大赛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“职场有约”之大学生创业项目大赛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“职场有约”之勇往“职”</w:t>
            </w:r>
            <w:r>
              <w:rPr>
                <w:rFonts w:ascii="宋体" w:cs="宋体" w:hAnsi="宋体" w:hint="eastAsia"/>
                <w:kern w:val="0"/>
                <w:szCs w:val="21"/>
              </w:rPr>
              <w:t>前大型</w:t>
            </w:r>
            <w:r>
              <w:rPr>
                <w:rFonts w:ascii="宋体" w:cs="宋体" w:hAnsi="宋体" w:hint="eastAsia"/>
                <w:kern w:val="0"/>
                <w:szCs w:val="21"/>
              </w:rPr>
              <w:t>精英挑战赛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文艺赛事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“如果·舞”新生舞蹈大赛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“梦启中南”新生征文大赛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体育赛事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体育赛事名称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工商管理学院篮球赛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工商管理学院新生“首义杯”篮球赛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工商管理学院乒乓球赛</w:t>
            </w:r>
          </w:p>
        </w:tc>
        <w:tc>
          <w:tcPr>
            <w:tcW w:w="21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其他赛事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文化知识竞赛等其它赛事名称</w:t>
            </w:r>
          </w:p>
        </w:tc>
        <w:tc>
          <w:tcPr>
            <w:tcW w:w="2126"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“礼冠工商”系列活动之中华优秀传统文化知识竞答暨新生礼仪风采展示大赛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“书香工商”系列活动（话剧视频、诗歌朗诵大赛）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r>
              <w:rPr>
                <w:rFonts w:ascii="宋体" w:cs="宋体" w:hAnsi="宋体" w:hint="eastAsia"/>
                <w:kern w:val="0"/>
                <w:szCs w:val="21"/>
              </w:rPr>
              <w:t>新生公益</w:t>
            </w:r>
            <w:r>
              <w:rPr>
                <w:rFonts w:ascii="宋体" w:cs="宋体" w:hAnsi="宋体" w:hint="eastAsia"/>
                <w:kern w:val="0"/>
                <w:szCs w:val="21"/>
              </w:rPr>
              <w:t>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b/>
                <w:kern w:val="0"/>
                <w:sz w:val="28"/>
                <w:szCs w:val="28"/>
              </w:rPr>
              <w:t>社会实践</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kern w:val="0"/>
                <w:szCs w:val="21"/>
              </w:rPr>
            </w:pPr>
            <w:r>
              <w:rPr>
                <w:rFonts w:hint="eastAsia"/>
                <w:b/>
                <w:bCs/>
                <w:sz w:val="22"/>
              </w:rPr>
              <w:t>奖项</w:t>
            </w:r>
            <w:r>
              <w:rPr>
                <w:rFonts w:hint="eastAsia"/>
                <w:b/>
                <w:bCs/>
                <w:sz w:val="22"/>
              </w:rPr>
              <w:t>/</w:t>
            </w:r>
            <w:r>
              <w:rPr>
                <w:rFonts w:hint="eastAsia"/>
                <w:b/>
                <w:bCs/>
                <w:sz w:val="22"/>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kern w:val="0"/>
                <w:szCs w:val="21"/>
              </w:rPr>
            </w:pPr>
            <w:r>
              <w:rPr>
                <w:rFonts w:hint="eastAsia"/>
                <w:b/>
                <w:bCs/>
                <w:sz w:val="22"/>
              </w:rPr>
              <w:t>主办单位</w:t>
            </w:r>
          </w:p>
        </w:tc>
      </w:tr>
      <w:tr>
        <w:tblPrEx/>
        <w:trPr>
          <w:trHeight w:val="270" w:hRule="atLeast"/>
        </w:trPr>
        <w:tc>
          <w:tcPr>
            <w:tcW w:w="1418" w:type="dxa"/>
            <w:vMerge w:val="continue"/>
            <w:tcBorders>
              <w:left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pPr>
              <w:pStyle w:val="style0"/>
              <w:widowControl/>
              <w:jc w:val="center"/>
              <w:rPr>
                <w:rFonts w:ascii="宋体" w:cs="宋体" w:hAnsi="宋体"/>
                <w:kern w:val="0"/>
                <w:szCs w:val="21"/>
              </w:rPr>
            </w:pPr>
            <w:r>
              <w:rPr>
                <w:rFonts w:ascii="宋体" w:cs="宋体" w:hAnsi="宋体" w:hint="eastAsia"/>
                <w:kern w:val="0"/>
                <w:szCs w:val="21"/>
              </w:rPr>
              <w:t>院级优秀社会实践队</w:t>
            </w:r>
          </w:p>
        </w:tc>
        <w:tc>
          <w:tcPr>
            <w:tcW w:w="2126" w:type="dxa"/>
            <w:tcBorders>
              <w:top w:val="single" w:sz="4" w:space="0" w:color="auto"/>
              <w:left w:val="nil"/>
              <w:bottom w:val="single" w:sz="4" w:space="0" w:color="auto"/>
              <w:right w:val="single" w:sz="4" w:space="0" w:color="auto"/>
            </w:tcBorders>
            <w:shd w:val="clear" w:color="auto" w:fill="auto"/>
            <w:vAlign w:val="bottom"/>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p>
        </w:tc>
        <w:tc>
          <w:tcPr>
            <w:tcW w:w="4394" w:type="dxa"/>
            <w:tcBorders>
              <w:top w:val="nil"/>
              <w:left w:val="single" w:sz="4" w:space="0" w:color="auto"/>
              <w:bottom w:val="single" w:sz="4" w:space="0" w:color="auto"/>
              <w:right w:val="single" w:sz="4" w:space="0" w:color="auto"/>
            </w:tcBorders>
            <w:shd w:val="clear" w:color="auto" w:fill="auto"/>
            <w:vAlign w:val="bottom"/>
          </w:tcPr>
          <w:p>
            <w:pPr>
              <w:pStyle w:val="style0"/>
              <w:widowControl/>
              <w:jc w:val="center"/>
              <w:rPr>
                <w:rFonts w:ascii="宋体" w:cs="宋体" w:hAnsi="宋体"/>
                <w:kern w:val="0"/>
                <w:szCs w:val="21"/>
              </w:rPr>
            </w:pPr>
            <w:r>
              <w:rPr>
                <w:rFonts w:ascii="宋体" w:cs="宋体" w:hAnsi="宋体" w:hint="eastAsia"/>
                <w:kern w:val="0"/>
                <w:szCs w:val="21"/>
              </w:rPr>
              <w:t>院级优秀社会实践个人</w:t>
            </w:r>
          </w:p>
        </w:tc>
        <w:tc>
          <w:tcPr>
            <w:tcW w:w="2126" w:type="dxa"/>
            <w:tcBorders>
              <w:top w:val="nil"/>
              <w:left w:val="nil"/>
              <w:bottom w:val="single" w:sz="4" w:space="0" w:color="auto"/>
              <w:right w:val="single" w:sz="4" w:space="0" w:color="auto"/>
            </w:tcBorders>
            <w:shd w:val="clear" w:color="auto" w:fill="auto"/>
            <w:vAlign w:val="bottom"/>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所获荣誉</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工商管理学院班级辩论赛最佳辩手</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榜样工商“十佳青年（团队）”</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院级优秀学生党员</w:t>
            </w:r>
          </w:p>
        </w:tc>
        <w:tc>
          <w:tcPr>
            <w:tcW w:w="2126" w:type="dxa"/>
            <w:tcBorders>
              <w:top w:val="single" w:sz="4" w:space="0" w:color="auto"/>
              <w:left w:val="nil"/>
              <w:bottom w:val="single" w:sz="4" w:space="0" w:color="auto"/>
              <w:right w:val="single" w:sz="4" w:space="0" w:color="auto"/>
            </w:tcBorders>
            <w:shd w:val="clear" w:color="auto" w:fill="auto"/>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院级优秀学生党支部</w:t>
            </w:r>
          </w:p>
        </w:tc>
        <w:tc>
          <w:tcPr>
            <w:tcW w:w="2126" w:type="dxa"/>
            <w:tcBorders>
              <w:top w:val="single" w:sz="4" w:space="0" w:color="auto"/>
              <w:left w:val="nil"/>
              <w:bottom w:val="single" w:sz="4" w:space="0" w:color="auto"/>
              <w:right w:val="single" w:sz="4" w:space="0" w:color="auto"/>
            </w:tcBorders>
            <w:shd w:val="clear" w:color="auto" w:fill="auto"/>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369"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大运会院级表彰（优秀组织奖、最佳团体项目、最佳运动员、优秀运动员、优秀工作者、先进个人）</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369"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学院综合表彰（优秀艺术团员、优秀礼仪、优秀模特、优秀辩手）</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院级优秀</w:t>
            </w:r>
            <w:r>
              <w:rPr>
                <w:rFonts w:ascii="宋体" w:cs="宋体" w:hAnsi="宋体" w:hint="eastAsia"/>
                <w:kern w:val="0"/>
                <w:szCs w:val="21"/>
              </w:rPr>
              <w:t>团学干部</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r>
              <w:rPr>
                <w:rFonts w:ascii="宋体" w:cs="宋体" w:hAnsi="宋体" w:hint="eastAsia"/>
                <w:b/>
                <w:kern w:val="0"/>
                <w:sz w:val="28"/>
                <w:szCs w:val="28"/>
              </w:rPr>
              <w:t>志愿服务</w:t>
            </w:r>
          </w:p>
          <w:p>
            <w:pPr>
              <w:pStyle w:val="style0"/>
              <w:widowControl/>
              <w:jc w:val="center"/>
              <w:rPr>
                <w:rFonts w:ascii="宋体" w:cs="宋体" w:hAnsi="宋体"/>
                <w:b/>
                <w:kern w:val="0"/>
                <w:sz w:val="28"/>
                <w:szCs w:val="28"/>
              </w:rPr>
            </w:pPr>
            <w:r>
              <w:rPr>
                <w:rFonts w:ascii="宋体" w:cs="宋体" w:hAnsi="宋体" w:hint="eastAsia"/>
                <w:b/>
                <w:kern w:val="0"/>
                <w:szCs w:val="21"/>
              </w:rPr>
              <w:t>（其他）</w:t>
            </w:r>
          </w:p>
        </w:tc>
        <w:tc>
          <w:tcPr>
            <w:tcW w:w="4394" w:type="dxa"/>
            <w:tcBorders>
              <w:top w:val="single" w:sz="4" w:space="0" w:color="auto"/>
              <w:left w:val="single" w:sz="4" w:space="0" w:color="auto"/>
              <w:bottom w:val="single" w:sz="4" w:space="0" w:color="auto"/>
              <w:right w:val="single" w:sz="4" w:space="0" w:color="auto"/>
            </w:tcBorders>
            <w:shd w:val="clear" w:color="auto"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奖项/成果名称</w:t>
            </w:r>
          </w:p>
        </w:tc>
        <w:tc>
          <w:tcPr>
            <w:tcW w:w="2126" w:type="dxa"/>
            <w:tcBorders>
              <w:top w:val="single" w:sz="4" w:space="0" w:color="auto"/>
              <w:left w:val="nil"/>
              <w:bottom w:val="single" w:sz="4" w:space="0" w:color="auto"/>
              <w:right w:val="single" w:sz="4" w:space="0" w:color="auto"/>
            </w:tcBorders>
            <w:shd w:val="clear" w:color="auto" w:fill="c4d79b"/>
            <w:vAlign w:val="center"/>
          </w:tcPr>
          <w:p>
            <w:pPr>
              <w:pStyle w:val="style0"/>
              <w:widowControl/>
              <w:jc w:val="center"/>
              <w:rPr>
                <w:rFonts w:ascii="宋体" w:cs="宋体" w:hAnsi="宋体"/>
                <w:b/>
                <w:bCs/>
                <w:kern w:val="0"/>
                <w:szCs w:val="21"/>
              </w:rPr>
            </w:pPr>
            <w:r>
              <w:rPr>
                <w:rFonts w:ascii="宋体" w:cs="宋体" w:hAnsi="宋体" w:hint="eastAsia"/>
                <w:b/>
                <w:bCs/>
                <w:kern w:val="0"/>
                <w:szCs w:val="21"/>
              </w:rPr>
              <w:t>主办单位</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大运会方阵队员</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r>
        <w:tblPrEx/>
        <w:trPr>
          <w:trHeight w:val="270" w:hRule="atLeast"/>
        </w:trPr>
        <w:tc>
          <w:tcPr>
            <w:tcW w:w="1418" w:type="dxa"/>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首义校区搬迁个人</w:t>
            </w:r>
          </w:p>
        </w:tc>
        <w:tc>
          <w:tcPr>
            <w:tcW w:w="212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Cs w:val="21"/>
              </w:rPr>
            </w:pPr>
            <w:r>
              <w:rPr>
                <w:rFonts w:ascii="宋体" w:cs="宋体" w:hAnsi="宋体" w:hint="eastAsia"/>
                <w:kern w:val="0"/>
                <w:szCs w:val="21"/>
              </w:rPr>
              <w:t>工商管理学院</w:t>
            </w:r>
          </w:p>
        </w:tc>
      </w:tr>
    </w:tbl>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kern w:val="21"/>
          <w:sz w:val="24"/>
          <w:szCs w:val="24"/>
        </w:rPr>
        <w:t>2</w:t>
      </w:r>
      <w:r>
        <w:rPr>
          <w:rFonts w:ascii="等线" w:cs="等线" w:eastAsia="等线" w:hAnsi="等线" w:hint="eastAsia"/>
          <w:kern w:val="21"/>
          <w:sz w:val="24"/>
          <w:szCs w:val="24"/>
        </w:rPr>
        <w:t>、院级加分项有效性由学院</w:t>
      </w:r>
      <w:r>
        <w:rPr>
          <w:rFonts w:ascii="等线" w:cs="等线" w:hAnsi="等线" w:hint="eastAsia"/>
          <w:kern w:val="21"/>
          <w:sz w:val="24"/>
          <w:szCs w:val="24"/>
        </w:rPr>
        <w:t>提交学校</w:t>
      </w:r>
      <w:r>
        <w:rPr>
          <w:rFonts w:ascii="等线" w:cs="等线" w:eastAsia="等线" w:hAnsi="等线" w:hint="eastAsia"/>
          <w:kern w:val="21"/>
          <w:sz w:val="24"/>
          <w:szCs w:val="24"/>
        </w:rPr>
        <w:t>审核，具体加分由学校资助中心认定；</w:t>
      </w:r>
    </w:p>
    <w:p>
      <w:pPr>
        <w:pStyle w:val="style0"/>
        <w:spacing w:lineRule="auto" w:line="360"/>
        <w:ind w:firstLine="480" w:firstLineChars="200"/>
        <w:jc w:val="left"/>
        <w:rPr>
          <w:rFonts w:ascii="等线" w:cs="等线" w:eastAsia="等线" w:hAnsi="等线"/>
          <w:kern w:val="21"/>
          <w:sz w:val="24"/>
          <w:szCs w:val="24"/>
        </w:rPr>
      </w:pPr>
      <w:r>
        <w:rPr>
          <w:rFonts w:ascii="等线" w:cs="等线" w:eastAsia="等线" w:hAnsi="等线"/>
          <w:kern w:val="21"/>
          <w:sz w:val="24"/>
          <w:szCs w:val="24"/>
        </w:rPr>
        <w:t>3</w:t>
      </w:r>
      <w:r>
        <w:rPr>
          <w:rFonts w:ascii="等线" w:cs="等线" w:eastAsia="等线" w:hAnsi="等线" w:hint="eastAsia"/>
          <w:kern w:val="21"/>
          <w:sz w:val="24"/>
          <w:szCs w:val="24"/>
        </w:rPr>
        <w:t>、校院两级奖学金评比文件中未明确规定的加减分情形由学院奖学金评定领导小组予以认定。</w:t>
      </w:r>
    </w:p>
    <w:p>
      <w:pPr>
        <w:pStyle w:val="style0"/>
        <w:spacing w:lineRule="auto" w:line="360"/>
        <w:ind w:firstLine="480" w:firstLineChars="200"/>
        <w:rPr>
          <w:rFonts w:ascii="等线" w:cs="等线" w:eastAsia="等线" w:hAnsi="等线"/>
          <w:sz w:val="24"/>
          <w:szCs w:val="24"/>
        </w:rPr>
      </w:pPr>
      <w:r>
        <w:rPr>
          <w:rFonts w:ascii="等线" w:cs="等线" w:eastAsia="等线" w:hAnsi="等线" w:hint="eastAsia"/>
          <w:sz w:val="24"/>
          <w:szCs w:val="24"/>
        </w:rPr>
        <w:t>三、各班将评选结果上报学院前在班级内部进行公示（至少三天），有异议者需于公示期内向本班辅导员反映。</w:t>
      </w:r>
    </w:p>
    <w:p>
      <w:pPr>
        <w:pStyle w:val="style0"/>
        <w:spacing w:lineRule="auto" w:line="360"/>
        <w:ind w:firstLine="480" w:firstLineChars="200"/>
        <w:rPr>
          <w:rFonts w:ascii="等线" w:cs="等线" w:eastAsia="等线" w:hAnsi="等线"/>
          <w:sz w:val="24"/>
          <w:szCs w:val="24"/>
        </w:rPr>
      </w:pPr>
      <w:r>
        <w:rPr>
          <w:rFonts w:ascii="等线" w:cs="等线" w:eastAsia="等线" w:hAnsi="等线" w:hint="eastAsia"/>
          <w:sz w:val="24"/>
          <w:szCs w:val="24"/>
        </w:rPr>
        <w:t>四、奖学金申请者必须提供获奖有效证明，包括奖状、证书、证明（签字盖章）复印件，获奖或公示的网页链接等。</w:t>
      </w:r>
    </w:p>
    <w:p>
      <w:pPr>
        <w:pStyle w:val="style0"/>
        <w:spacing w:lineRule="auto" w:line="360"/>
        <w:ind w:firstLine="480" w:firstLineChars="200"/>
        <w:rPr>
          <w:rFonts w:ascii="等线" w:cs="等线" w:eastAsia="等线" w:hAnsi="等线"/>
          <w:sz w:val="24"/>
          <w:szCs w:val="24"/>
        </w:rPr>
      </w:pPr>
      <w:r>
        <w:rPr>
          <w:rFonts w:ascii="等线" w:cs="等线" w:eastAsia="等线" w:hAnsi="等线" w:hint="eastAsia"/>
          <w:sz w:val="24"/>
          <w:szCs w:val="24"/>
        </w:rPr>
        <w:t>五、本规定解释权归工商管理学院学生工作办公室所有，自</w:t>
      </w:r>
      <w:r>
        <w:rPr>
          <w:rFonts w:ascii="等线" w:cs="等线" w:eastAsia="等线" w:hAnsi="等线" w:hint="eastAsia"/>
          <w:sz w:val="24"/>
          <w:szCs w:val="24"/>
        </w:rPr>
        <w:t>201</w:t>
      </w:r>
      <w:bookmarkStart w:id="0" w:name="_GoBack"/>
      <w:bookmarkEnd w:id="0"/>
      <w:r>
        <w:rPr>
          <w:rFonts w:cs="等线" w:eastAsia="等线" w:hAnsi="等线" w:hint="default"/>
          <w:sz w:val="24"/>
          <w:szCs w:val="24"/>
          <w:lang w:val="en-US"/>
        </w:rPr>
        <w:t>8</w:t>
      </w:r>
      <w:r>
        <w:rPr>
          <w:rFonts w:ascii="等线" w:cs="等线" w:eastAsia="等线" w:hAnsi="等线" w:hint="eastAsia"/>
          <w:sz w:val="24"/>
          <w:szCs w:val="24"/>
        </w:rPr>
        <w:t>年9月1日起实行。</w:t>
      </w:r>
    </w:p>
    <w:p>
      <w:pPr>
        <w:pStyle w:val="style4101"/>
        <w:spacing w:lineRule="auto" w:line="360"/>
        <w:ind w:firstLine="0" w:firstLineChars="0"/>
        <w:rPr>
          <w:rFonts w:ascii="等线" w:cs="等线" w:eastAsia="等线" w:hAnsi="等线"/>
          <w:sz w:val="24"/>
          <w:szCs w:val="24"/>
        </w:rPr>
      </w:pPr>
    </w:p>
    <w:p>
      <w:pPr>
        <w:pStyle w:val="style4101"/>
        <w:spacing w:lineRule="auto" w:line="360"/>
        <w:ind w:firstLine="4800" w:firstLineChars="2000"/>
        <w:rPr>
          <w:rFonts w:ascii="等线" w:cs="等线" w:eastAsia="等线" w:hAnsi="等线"/>
          <w:sz w:val="24"/>
          <w:szCs w:val="24"/>
        </w:rPr>
      </w:pPr>
      <w:r>
        <w:rPr>
          <w:rFonts w:ascii="等线" w:cs="等线" w:eastAsia="等线" w:hAnsi="等线" w:hint="eastAsia"/>
          <w:sz w:val="24"/>
          <w:szCs w:val="24"/>
        </w:rPr>
        <w:t>工商管理学院学生工作办公室</w:t>
      </w:r>
    </w:p>
    <w:p>
      <w:pPr>
        <w:pStyle w:val="style4101"/>
        <w:spacing w:lineRule="auto" w:line="360"/>
        <w:ind w:firstLine="5520" w:firstLineChars="2300"/>
        <w:rPr/>
      </w:pPr>
      <w:r>
        <w:rPr>
          <w:rFonts w:ascii="等线" w:cs="等线" w:eastAsia="等线" w:hAnsi="等线" w:hint="eastAsia"/>
          <w:sz w:val="24"/>
          <w:szCs w:val="24"/>
        </w:rPr>
        <w:t>201</w:t>
      </w:r>
      <w:r>
        <w:rPr>
          <w:rFonts w:cs="等线" w:eastAsia="等线" w:hAnsi="等线" w:hint="default"/>
          <w:sz w:val="24"/>
          <w:szCs w:val="24"/>
          <w:lang w:val="en-US"/>
        </w:rPr>
        <w:t>8</w:t>
      </w:r>
      <w:r>
        <w:rPr>
          <w:rFonts w:ascii="等线" w:cs="等线" w:eastAsia="等线" w:hAnsi="等线" w:hint="eastAsia"/>
          <w:sz w:val="24"/>
          <w:szCs w:val="24"/>
        </w:rPr>
        <w:t>年</w:t>
      </w:r>
      <w:r>
        <w:rPr>
          <w:rFonts w:cs="等线" w:eastAsia="等线" w:hAnsi="等线" w:hint="default"/>
          <w:sz w:val="24"/>
          <w:szCs w:val="24"/>
          <w:lang w:val="en-US"/>
        </w:rPr>
        <w:t>9</w:t>
      </w:r>
      <w:r>
        <w:rPr>
          <w:rFonts w:ascii="等线" w:cs="等线" w:eastAsia="等线" w:hAnsi="等线" w:hint="eastAsia"/>
          <w:sz w:val="24"/>
          <w:szCs w:val="24"/>
        </w:rPr>
        <w:t>月</w:t>
      </w:r>
    </w:p>
    <w:sectPr>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黑体">
    <w:altName w:val="SimHei"/>
    <w:panose1 w:val="02010609060001010101"/>
    <w:charset w:val="86"/>
    <w:family w:val="modern"/>
    <w:pitch w:val="fixed"/>
    <w:sig w:usb0="800002BF" w:usb1="38CF7CFA"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A36712C"/>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kern w:val="2"/>
      <w:sz w:val="21"/>
      <w:szCs w:val="22"/>
    </w:rPr>
  </w:style>
  <w:style w:type="paragraph" w:styleId="style2">
    <w:name w:val="heading 2"/>
    <w:basedOn w:val="style0"/>
    <w:next w:val="style0"/>
    <w:link w:val="style4099"/>
    <w:qFormat/>
    <w:pPr>
      <w:keepNext/>
      <w:keepLines/>
      <w:spacing w:before="260" w:after="260" w:lineRule="auto" w:line="416"/>
      <w:outlineLvl w:val="1"/>
    </w:pPr>
    <w:rPr>
      <w:rFonts w:ascii="Cambria" w:hAnsi="Cambria"/>
      <w:b/>
      <w:bCs/>
      <w:kern w:val="0"/>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100"/>
    <w:qFormat/>
    <w:uiPriority w:val="99"/>
    <w:pPr>
      <w:jc w:val="left"/>
    </w:pPr>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标题 2 Char"/>
    <w:basedOn w:val="style65"/>
    <w:next w:val="style4099"/>
    <w:link w:val="style2"/>
    <w:qFormat/>
    <w:rPr>
      <w:rFonts w:ascii="Cambria" w:cs="Times New Roman" w:eastAsia="宋体" w:hAnsi="Cambria"/>
      <w:b/>
      <w:bCs/>
      <w:kern w:val="0"/>
      <w:sz w:val="32"/>
      <w:szCs w:val="32"/>
    </w:rPr>
  </w:style>
  <w:style w:type="character" w:customStyle="1" w:styleId="style4100">
    <w:name w:val="批注文字 Char"/>
    <w:basedOn w:val="style65"/>
    <w:next w:val="style4100"/>
    <w:link w:val="style30"/>
    <w:qFormat/>
    <w:uiPriority w:val="99"/>
    <w:rPr>
      <w:rFonts w:ascii="Calibri" w:cs="Times New Roman" w:eastAsia="宋体" w:hAnsi="Calibri"/>
    </w:rPr>
  </w:style>
  <w:style w:type="paragraph" w:customStyle="1" w:styleId="style4101">
    <w:name w:val="列出段落1"/>
    <w:basedOn w:val="style0"/>
    <w:next w:val="style4101"/>
    <w:qFormat/>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1455</Words>
  <Pages>1</Pages>
  <Characters>1468</Characters>
  <Application>WPS Office</Application>
  <DocSecurity>0</DocSecurity>
  <Paragraphs>172</Paragraphs>
  <ScaleCrop>false</ScaleCrop>
  <Company>Microsoft</Company>
  <LinksUpToDate>false</LinksUpToDate>
  <CharactersWithSpaces>1468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2019-10-26T13:20:00Z</dcterms:created>
  <dc:creator>蒋思君</dc:creator>
  <lastModifiedBy>V1809A</lastModifiedBy>
  <dcterms:modified xsi:type="dcterms:W3CDTF">2019-10-26T15:45:58Z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